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19897">
      <w:pPr>
        <w:spacing w:line="360" w:lineRule="auto"/>
        <w:jc w:val="center"/>
        <w:rPr>
          <w:sz w:val="24"/>
        </w:rPr>
      </w:pPr>
      <w:r>
        <w:rPr>
          <w:rFonts w:hint="eastAsia" w:hAnsiTheme="minorEastAsia"/>
          <w:b/>
          <w:kern w:val="0"/>
          <w:sz w:val="24"/>
        </w:rPr>
        <w:t>试验方案偏离记录表</w:t>
      </w:r>
    </w:p>
    <w:tbl>
      <w:tblPr>
        <w:tblStyle w:val="5"/>
        <w:tblW w:w="95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8"/>
        <w:gridCol w:w="89"/>
        <w:gridCol w:w="2132"/>
        <w:gridCol w:w="279"/>
        <w:gridCol w:w="2271"/>
        <w:gridCol w:w="139"/>
        <w:gridCol w:w="2411"/>
      </w:tblGrid>
      <w:tr w14:paraId="68F6C2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exact"/>
          <w:jc w:val="center"/>
        </w:trPr>
        <w:tc>
          <w:tcPr>
            <w:tcW w:w="2218" w:type="dxa"/>
            <w:vAlign w:val="center"/>
          </w:tcPr>
          <w:p w14:paraId="5E859539">
            <w:pPr>
              <w:snapToGrid/>
              <w:spacing w:after="0"/>
              <w:contextualSpacing/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项目名称</w:t>
            </w:r>
          </w:p>
        </w:tc>
        <w:tc>
          <w:tcPr>
            <w:tcW w:w="7321" w:type="dxa"/>
            <w:gridSpan w:val="6"/>
            <w:vAlign w:val="center"/>
          </w:tcPr>
          <w:p w14:paraId="0CB0EF05">
            <w:pPr>
              <w:snapToGrid/>
              <w:spacing w:after="0"/>
              <w:contextualSpacing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0B52D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exact"/>
          <w:jc w:val="center"/>
        </w:trPr>
        <w:tc>
          <w:tcPr>
            <w:tcW w:w="2218" w:type="dxa"/>
            <w:vAlign w:val="center"/>
          </w:tcPr>
          <w:p w14:paraId="205819E8">
            <w:pPr>
              <w:snapToGrid/>
              <w:spacing w:after="0"/>
              <w:contextualSpacing/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临床研究类别</w:t>
            </w:r>
          </w:p>
        </w:tc>
        <w:tc>
          <w:tcPr>
            <w:tcW w:w="7321" w:type="dxa"/>
            <w:gridSpan w:val="6"/>
            <w:vAlign w:val="center"/>
          </w:tcPr>
          <w:p w14:paraId="55DFF6B5">
            <w:pPr>
              <w:snapToGrid/>
              <w:spacing w:after="0" w:line="380" w:lineRule="exact"/>
              <w:contextualSpacing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 xml:space="preserve">药物注册临床试验       </w:t>
            </w:r>
          </w:p>
          <w:p w14:paraId="26D269D3">
            <w:pPr>
              <w:snapToGrid/>
              <w:spacing w:after="0" w:line="380" w:lineRule="exact"/>
              <w:contextualSpacing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 xml:space="preserve">□申办方发起的非注册性临床研究     </w:t>
            </w:r>
          </w:p>
        </w:tc>
      </w:tr>
      <w:tr w14:paraId="0AC02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218" w:type="dxa"/>
            <w:vAlign w:val="center"/>
          </w:tcPr>
          <w:p w14:paraId="5C82A06D">
            <w:pPr>
              <w:snapToGrid/>
              <w:spacing w:after="0"/>
              <w:contextualSpacing/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申办方</w:t>
            </w:r>
          </w:p>
        </w:tc>
        <w:tc>
          <w:tcPr>
            <w:tcW w:w="7321" w:type="dxa"/>
            <w:gridSpan w:val="6"/>
            <w:vAlign w:val="center"/>
          </w:tcPr>
          <w:p w14:paraId="1268ECE0">
            <w:pPr>
              <w:snapToGrid/>
              <w:spacing w:after="0" w:line="300" w:lineRule="exact"/>
              <w:contextualSpacing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</w:p>
        </w:tc>
      </w:tr>
      <w:tr w14:paraId="03A42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218" w:type="dxa"/>
            <w:vAlign w:val="center"/>
          </w:tcPr>
          <w:p w14:paraId="4A7E3AEC">
            <w:pPr>
              <w:snapToGrid/>
              <w:spacing w:after="0"/>
              <w:contextualSpacing/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主要研究者</w:t>
            </w:r>
          </w:p>
        </w:tc>
        <w:tc>
          <w:tcPr>
            <w:tcW w:w="2221" w:type="dxa"/>
            <w:gridSpan w:val="2"/>
            <w:vAlign w:val="center"/>
          </w:tcPr>
          <w:p w14:paraId="5B4AC773">
            <w:pPr>
              <w:snapToGrid/>
              <w:spacing w:after="0"/>
              <w:contextualSpacing/>
              <w:jc w:val="center"/>
              <w:rPr>
                <w:rFonts w:ascii="宋体" w:hAnsi="宋体" w:eastAsia="宋体" w:cs="仿宋"/>
                <w:color w:val="000000"/>
                <w:spacing w:val="20"/>
                <w:sz w:val="24"/>
                <w:szCs w:val="24"/>
                <w:lang w:eastAsia="zh-Hans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69290296">
            <w:pPr>
              <w:snapToGrid/>
              <w:spacing w:after="0"/>
              <w:contextualSpacing/>
              <w:jc w:val="center"/>
              <w:rPr>
                <w:rFonts w:ascii="宋体" w:hAnsi="宋体" w:eastAsia="宋体" w:cs="仿宋"/>
                <w:color w:val="000000"/>
                <w:spacing w:val="2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承担科室</w:t>
            </w:r>
          </w:p>
        </w:tc>
        <w:tc>
          <w:tcPr>
            <w:tcW w:w="2550" w:type="dxa"/>
            <w:gridSpan w:val="2"/>
            <w:vAlign w:val="center"/>
          </w:tcPr>
          <w:p w14:paraId="583E6158">
            <w:pPr>
              <w:snapToGrid/>
              <w:spacing w:after="0"/>
              <w:contextualSpacing/>
              <w:jc w:val="center"/>
              <w:rPr>
                <w:rFonts w:ascii="宋体" w:hAnsi="宋体" w:eastAsia="宋体" w:cs="仿宋"/>
                <w:color w:val="000000"/>
                <w:spacing w:val="20"/>
                <w:sz w:val="24"/>
                <w:szCs w:val="24"/>
                <w:lang w:eastAsia="zh-Hans"/>
              </w:rPr>
            </w:pPr>
          </w:p>
        </w:tc>
      </w:tr>
      <w:tr w14:paraId="26640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exact"/>
          <w:jc w:val="center"/>
        </w:trPr>
        <w:tc>
          <w:tcPr>
            <w:tcW w:w="2218" w:type="dxa"/>
            <w:vAlign w:val="center"/>
          </w:tcPr>
          <w:p w14:paraId="71143E61">
            <w:pPr>
              <w:snapToGrid/>
              <w:spacing w:after="0"/>
              <w:contextualSpacing/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伦理审查委员会批准的跟踪审查频率</w:t>
            </w:r>
          </w:p>
        </w:tc>
        <w:tc>
          <w:tcPr>
            <w:tcW w:w="7321" w:type="dxa"/>
            <w:gridSpan w:val="6"/>
            <w:vAlign w:val="center"/>
          </w:tcPr>
          <w:p w14:paraId="79BFC480">
            <w:pPr>
              <w:snapToGrid/>
              <w:spacing w:after="0"/>
              <w:contextualSpacing/>
              <w:jc w:val="center"/>
              <w:rPr>
                <w:rFonts w:ascii="宋体" w:hAnsi="宋体" w:eastAsia="宋体" w:cs="仿宋"/>
                <w:color w:val="000000"/>
                <w:spacing w:val="20"/>
                <w:sz w:val="24"/>
                <w:szCs w:val="24"/>
                <w:lang w:eastAsia="zh-Hans"/>
              </w:rPr>
            </w:pPr>
          </w:p>
        </w:tc>
      </w:tr>
      <w:tr w14:paraId="355F1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218" w:type="dxa"/>
            <w:tcBorders>
              <w:bottom w:val="single" w:color="auto" w:sz="4" w:space="0"/>
            </w:tcBorders>
            <w:vAlign w:val="center"/>
          </w:tcPr>
          <w:p w14:paraId="6007EAD7">
            <w:pPr>
              <w:snapToGrid/>
              <w:spacing w:after="0"/>
              <w:contextualSpacing/>
              <w:jc w:val="center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递交材料</w:t>
            </w:r>
          </w:p>
        </w:tc>
        <w:tc>
          <w:tcPr>
            <w:tcW w:w="7321" w:type="dxa"/>
            <w:gridSpan w:val="6"/>
            <w:tcBorders>
              <w:bottom w:val="single" w:color="auto" w:sz="4" w:space="0"/>
            </w:tcBorders>
            <w:vAlign w:val="center"/>
          </w:tcPr>
          <w:p w14:paraId="108DE203">
            <w:pPr>
              <w:snapToGrid/>
              <w:spacing w:after="0"/>
              <w:contextualSpacing/>
              <w:jc w:val="center"/>
              <w:rPr>
                <w:rFonts w:hint="default" w:ascii="宋体" w:hAnsi="宋体" w:eastAsia="宋体" w:cs="仿宋"/>
                <w:color w:val="000000"/>
                <w:spacing w:val="2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spacing w:val="20"/>
                <w:sz w:val="24"/>
                <w:szCs w:val="24"/>
                <w:lang w:val="en-US" w:eastAsia="zh-CN"/>
              </w:rPr>
              <w:t>违背方案一览表</w:t>
            </w:r>
          </w:p>
        </w:tc>
      </w:tr>
      <w:tr w14:paraId="315DB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3" w:hRule="atLeast"/>
          <w:jc w:val="center"/>
        </w:trPr>
        <w:tc>
          <w:tcPr>
            <w:tcW w:w="9539" w:type="dxa"/>
            <w:gridSpan w:val="7"/>
            <w:vAlign w:val="top"/>
          </w:tcPr>
          <w:p w14:paraId="22526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contextualSpacing/>
              <w:textAlignment w:val="auto"/>
              <w:rPr>
                <w:rFonts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一、研究阶段：</w:t>
            </w:r>
          </w:p>
          <w:p w14:paraId="1202B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contextualSpacing/>
              <w:textAlignment w:val="auto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□尚未入组    □已入组，正在实施研究   □完成入组，</w:t>
            </w:r>
            <w:r>
              <w:rPr>
                <w:rFonts w:hint="eastAsia" w:ascii="宋体" w:hAnsi="宋体" w:cs="仿宋"/>
                <w:color w:val="000000"/>
                <w:sz w:val="24"/>
                <w:szCs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 xml:space="preserve">研究干预尚未完成  </w:t>
            </w:r>
          </w:p>
          <w:p w14:paraId="73885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contextualSpacing/>
              <w:textAlignment w:val="auto"/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宋体" w:hAnsi="宋体" w:cs="仿宋"/>
                <w:color w:val="000000"/>
                <w:sz w:val="24"/>
                <w:szCs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 xml:space="preserve">的研究干预已经完成   </w:t>
            </w:r>
            <w:r>
              <w:rPr>
                <w:rFonts w:hint="eastAsia" w:ascii="宋体" w:hAnsi="宋体" w:cs="仿宋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仿宋"/>
                <w:color w:val="000000"/>
                <w:sz w:val="24"/>
                <w:szCs w:val="24"/>
                <w:lang w:eastAsia="zh-CN"/>
              </w:rPr>
              <w:t>□试验参与者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 xml:space="preserve">的随访已经完成  </w:t>
            </w:r>
          </w:p>
          <w:p w14:paraId="59775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contextualSpacing/>
              <w:textAlignment w:val="auto"/>
              <w:rPr>
                <w:rFonts w:ascii="宋体" w:hAnsi="宋体" w:eastAsia="宋体" w:cs="仿宋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cs="仿宋"/>
                <w:color w:val="00000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仿宋"/>
                <w:color w:val="000000"/>
                <w:sz w:val="24"/>
                <w:szCs w:val="24"/>
              </w:rPr>
              <w:t>后期数据处理阶段</w:t>
            </w:r>
          </w:p>
          <w:p w14:paraId="643991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contextualSpacing/>
              <w:textAlignment w:val="auto"/>
              <w:rPr>
                <w:rFonts w:ascii="宋体" w:hAnsi="宋体" w:eastAsia="宋体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 w:val="24"/>
                <w:szCs w:val="24"/>
              </w:rPr>
              <w:t>二、违背方案一览表</w:t>
            </w:r>
            <w:r>
              <w:rPr>
                <w:rFonts w:hint="eastAsia" w:ascii="宋体" w:hAnsi="宋体" w:eastAsia="宋体" w:cs="仿宋"/>
                <w:bCs/>
                <w:color w:val="000000"/>
                <w:sz w:val="24"/>
                <w:szCs w:val="24"/>
              </w:rPr>
              <w:t>（可另附页，至少应包括</w:t>
            </w:r>
            <w:r>
              <w:rPr>
                <w:rFonts w:hint="eastAsia" w:ascii="宋体" w:hAnsi="宋体" w:cs="仿宋"/>
                <w:bCs/>
                <w:color w:val="000000"/>
                <w:sz w:val="24"/>
                <w:szCs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仿宋"/>
                <w:bCs/>
                <w:color w:val="000000"/>
                <w:sz w:val="24"/>
                <w:szCs w:val="24"/>
              </w:rPr>
              <w:t>编号、发生日期、发现日期、违背/偏离方案类型、事件描述、事件发生的原因、对</w:t>
            </w:r>
            <w:r>
              <w:rPr>
                <w:rFonts w:hint="eastAsia" w:ascii="宋体" w:hAnsi="宋体" w:cs="仿宋"/>
                <w:bCs/>
                <w:color w:val="000000"/>
                <w:sz w:val="24"/>
                <w:szCs w:val="24"/>
                <w:lang w:eastAsia="zh-CN"/>
              </w:rPr>
              <w:t>试验参与者</w:t>
            </w:r>
            <w:r>
              <w:rPr>
                <w:rFonts w:hint="eastAsia" w:ascii="宋体" w:hAnsi="宋体" w:eastAsia="宋体" w:cs="仿宋"/>
                <w:bCs/>
                <w:color w:val="000000"/>
                <w:sz w:val="24"/>
                <w:szCs w:val="24"/>
              </w:rPr>
              <w:t>的影响、对研究结果的影响</w:t>
            </w:r>
            <w:r>
              <w:rPr>
                <w:rFonts w:hint="eastAsia" w:ascii="宋体" w:hAnsi="宋体" w:cs="仿宋"/>
                <w:bCs/>
                <w:color w:val="000000"/>
                <w:sz w:val="24"/>
                <w:szCs w:val="24"/>
                <w:lang w:eastAsia="zh-CN"/>
              </w:rPr>
              <w:t>、</w:t>
            </w: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对关键质量因素（CtQ）的影响</w:t>
            </w:r>
            <w:r>
              <w:rPr>
                <w:rFonts w:hint="eastAsia" w:ascii="宋体" w:hAnsi="宋体" w:eastAsia="宋体" w:cs="仿宋"/>
                <w:bCs/>
                <w:color w:val="000000"/>
                <w:sz w:val="24"/>
                <w:szCs w:val="24"/>
              </w:rPr>
              <w:t>和处理措施。）</w:t>
            </w:r>
          </w:p>
        </w:tc>
      </w:tr>
      <w:tr w14:paraId="3E638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307" w:type="dxa"/>
            <w:gridSpan w:val="2"/>
            <w:vAlign w:val="center"/>
          </w:tcPr>
          <w:p w14:paraId="5ADE7EED">
            <w:pPr>
              <w:snapToGrid/>
              <w:spacing w:after="0" w:line="312" w:lineRule="auto"/>
              <w:contextualSpacing/>
              <w:jc w:val="center"/>
              <w:rPr>
                <w:rFonts w:ascii="宋体" w:hAnsi="宋体" w:eastAsia="宋体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Cs/>
                <w:color w:val="000000"/>
                <w:sz w:val="24"/>
                <w:szCs w:val="24"/>
              </w:rPr>
              <w:t>主要研究者签名</w:t>
            </w:r>
          </w:p>
        </w:tc>
        <w:tc>
          <w:tcPr>
            <w:tcW w:w="2411" w:type="dxa"/>
            <w:gridSpan w:val="2"/>
            <w:vAlign w:val="center"/>
          </w:tcPr>
          <w:p w14:paraId="33C825A0">
            <w:pPr>
              <w:snapToGrid/>
              <w:spacing w:after="0" w:line="312" w:lineRule="auto"/>
              <w:contextualSpacing/>
              <w:jc w:val="center"/>
              <w:rPr>
                <w:rFonts w:ascii="宋体" w:hAnsi="宋体" w:eastAsia="宋体" w:cs="仿宋"/>
                <w:bCs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vAlign w:val="center"/>
          </w:tcPr>
          <w:p w14:paraId="09139C20">
            <w:pPr>
              <w:snapToGrid/>
              <w:spacing w:after="0" w:line="312" w:lineRule="auto"/>
              <w:contextualSpacing/>
              <w:jc w:val="center"/>
              <w:rPr>
                <w:rFonts w:ascii="宋体" w:hAnsi="宋体" w:eastAsia="宋体" w:cs="仿宋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仿宋"/>
                <w:b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2411" w:type="dxa"/>
            <w:vAlign w:val="center"/>
          </w:tcPr>
          <w:p w14:paraId="36A58626">
            <w:pPr>
              <w:snapToGrid/>
              <w:spacing w:after="0" w:line="312" w:lineRule="auto"/>
              <w:contextualSpacing/>
              <w:rPr>
                <w:rFonts w:ascii="宋体" w:hAnsi="宋体" w:eastAsia="宋体" w:cs="仿宋"/>
                <w:bCs/>
                <w:color w:val="000000"/>
                <w:sz w:val="24"/>
                <w:szCs w:val="24"/>
              </w:rPr>
            </w:pPr>
          </w:p>
        </w:tc>
      </w:tr>
    </w:tbl>
    <w:p w14:paraId="1098A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 w:ascii="宋体" w:hAnsi="宋体" w:cs="仿宋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仿宋"/>
          <w:b/>
          <w:color w:val="auto"/>
          <w:sz w:val="24"/>
          <w:szCs w:val="24"/>
        </w:rPr>
        <w:t>注：</w:t>
      </w:r>
      <w:r>
        <w:rPr>
          <w:rFonts w:hint="eastAsia" w:ascii="宋体" w:hAnsi="宋体" w:eastAsia="宋体" w:cs="仿宋"/>
          <w:b w:val="0"/>
          <w:bCs/>
          <w:color w:val="auto"/>
          <w:sz w:val="24"/>
          <w:szCs w:val="24"/>
        </w:rPr>
        <w:t>方案违背类型：</w:t>
      </w:r>
    </w:p>
    <w:p w14:paraId="1EE972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default" w:ascii="宋体" w:hAnsi="宋体" w:cs="仿宋"/>
          <w:b w:val="0"/>
          <w:bCs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仿宋"/>
          <w:b w:val="0"/>
          <w:bCs/>
          <w:color w:val="auto"/>
          <w:sz w:val="22"/>
          <w:szCs w:val="22"/>
          <w:lang w:val="en-US" w:eastAsia="zh-CN"/>
        </w:rPr>
        <w:t>1.重要的方案偏离：</w:t>
      </w:r>
    </w:p>
    <w:p w14:paraId="49135EF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未签署知情同意书进入试验；</w:t>
      </w:r>
    </w:p>
    <w:p w14:paraId="7D7DB7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纳入不符合入选标准或符合排除标准的试验参与者；</w:t>
      </w:r>
    </w:p>
    <w:p w14:paraId="4704EB0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给予试验参与者错误的治疗或不正确的剂量；</w:t>
      </w:r>
    </w:p>
    <w:p w14:paraId="0056A16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给予试验参与者方案禁用的合并用药；</w:t>
      </w:r>
    </w:p>
    <w:p w14:paraId="4CAC750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未按照方案要求进行关键安全性指标、主要疗效指标或关键次要疗效指标的检查；</w:t>
      </w:r>
    </w:p>
    <w:p w14:paraId="6494A2D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试验参与者符合提前退出标准而未退出；</w:t>
      </w:r>
    </w:p>
    <w:p w14:paraId="782B0FC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严重不良事件未及时记录和报告；</w:t>
      </w:r>
    </w:p>
    <w:p w14:paraId="4833EDC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持续违背方案（不属于上述重大违背方案，但反复多次的违背方案）；</w:t>
      </w:r>
    </w:p>
    <w:p w14:paraId="38A5413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其他严重违反GCP原则、可能对试验参与者权益/安全或研究科学性产生显著影响的行为。</w:t>
      </w:r>
    </w:p>
    <w:p w14:paraId="7FE7B4A3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textAlignment w:val="auto"/>
        <w:rPr>
          <w:rFonts w:hint="eastAsia" w:ascii="宋体" w:hAnsi="宋体" w:cs="仿宋"/>
          <w:b w:val="0"/>
          <w:bCs/>
          <w:color w:val="auto"/>
          <w:sz w:val="22"/>
          <w:szCs w:val="22"/>
          <w:lang w:val="en-US" w:eastAsia="zh-CN"/>
        </w:rPr>
      </w:pPr>
      <w:r>
        <w:rPr>
          <w:rFonts w:hint="eastAsia" w:ascii="宋体" w:hAnsi="宋体" w:cs="仿宋"/>
          <w:b w:val="0"/>
          <w:bCs/>
          <w:color w:val="auto"/>
          <w:sz w:val="22"/>
          <w:szCs w:val="22"/>
          <w:lang w:val="en-US" w:eastAsia="zh-CN"/>
        </w:rPr>
        <w:t>一般方案偏离：</w:t>
      </w:r>
    </w:p>
    <w:p w14:paraId="5C664D4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访视/观察/检查时间超窗，但不影响试验参与者按方案继续使用研究药物，或不影响对主要疗效和关键次要疗效指标评价的有效性；</w:t>
      </w:r>
    </w:p>
    <w:p w14:paraId="641A022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方案规定观察的数据点或实验室参数缺失，但不影响主要疗效或关键安全性指标；</w:t>
      </w:r>
    </w:p>
    <w:p w14:paraId="683785F0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0" w:leftChars="0" w:firstLine="440" w:firstLineChars="200"/>
        <w:textAlignment w:val="auto"/>
        <w:rPr>
          <w:rFonts w:hint="default" w:ascii="宋体" w:hAnsi="宋体" w:cs="仿宋"/>
          <w:b w:val="0"/>
          <w:bCs/>
          <w:color w:val="auto"/>
          <w:sz w:val="22"/>
          <w:szCs w:val="22"/>
          <w:lang w:val="en-US" w:eastAsia="zh-CN"/>
        </w:rPr>
      </w:pPr>
      <w:r>
        <w:rPr>
          <w:rFonts w:hint="eastAsia" w:cs="Times New Roman"/>
          <w:b w:val="0"/>
          <w:bCs w:val="0"/>
          <w:color w:val="auto"/>
          <w:kern w:val="2"/>
          <w:sz w:val="22"/>
          <w:szCs w:val="22"/>
          <w:lang w:val="en-US" w:eastAsia="zh-CN"/>
        </w:rPr>
        <w:t>与安全性监测或重要研究终点无关的研究程序未执行。</w:t>
      </w:r>
    </w:p>
    <w:p w14:paraId="725B61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bCs/>
          <w:color w:val="auto"/>
          <w:sz w:val="22"/>
          <w:szCs w:val="22"/>
        </w:rPr>
        <w:sectPr>
          <w:headerReference r:id="rId5" w:type="default"/>
          <w:footerReference r:id="rId6" w:type="default"/>
          <w:pgSz w:w="11906" w:h="16838"/>
          <w:pgMar w:top="1418" w:right="1418" w:bottom="1418" w:left="1418" w:header="851" w:footer="850" w:gutter="567"/>
          <w:cols w:space="425" w:num="1"/>
          <w:docGrid w:type="lines" w:linePitch="312" w:charSpace="0"/>
        </w:sectPr>
      </w:pPr>
    </w:p>
    <w:p w14:paraId="46DED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仿宋"/>
          <w:b/>
          <w:sz w:val="22"/>
          <w:szCs w:val="22"/>
          <w:lang w:val="en-US" w:eastAsia="zh-CN"/>
        </w:rPr>
        <w:sectPr>
          <w:type w:val="continuous"/>
          <w:pgSz w:w="11906" w:h="16838"/>
          <w:pgMar w:top="1418" w:right="1418" w:bottom="1418" w:left="1418" w:header="851" w:footer="850" w:gutter="567"/>
          <w:cols w:space="425" w:num="1"/>
          <w:docGrid w:type="lines" w:linePitch="312" w:charSpace="0"/>
        </w:sectPr>
      </w:pPr>
    </w:p>
    <w:p w14:paraId="5B0E879A">
      <w:pPr>
        <w:spacing w:line="360" w:lineRule="auto"/>
        <w:rPr>
          <w:rFonts w:hint="default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附表：偏离方案一览表</w:t>
      </w:r>
    </w:p>
    <w:tbl>
      <w:tblPr>
        <w:tblStyle w:val="6"/>
        <w:tblW w:w="497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1"/>
        <w:gridCol w:w="1451"/>
        <w:gridCol w:w="1451"/>
        <w:gridCol w:w="1108"/>
        <w:gridCol w:w="1813"/>
        <w:gridCol w:w="2748"/>
        <w:gridCol w:w="1451"/>
        <w:gridCol w:w="1363"/>
        <w:gridCol w:w="1439"/>
      </w:tblGrid>
      <w:tr w14:paraId="52525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470" w:type="pct"/>
            <w:vAlign w:val="center"/>
          </w:tcPr>
          <w:p w14:paraId="5AFA655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color w:val="auto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  <w:t>筛选号</w:t>
            </w:r>
          </w:p>
        </w:tc>
        <w:tc>
          <w:tcPr>
            <w:tcW w:w="512" w:type="pct"/>
            <w:vAlign w:val="center"/>
          </w:tcPr>
          <w:p w14:paraId="1A57E800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highlight w:val="none"/>
                <w:vertAlign w:val="baseline"/>
                <w:lang w:val="en-US" w:eastAsia="zh-CN"/>
              </w:rPr>
              <w:t>发生日期</w:t>
            </w:r>
          </w:p>
        </w:tc>
        <w:tc>
          <w:tcPr>
            <w:tcW w:w="512" w:type="pct"/>
            <w:vAlign w:val="center"/>
          </w:tcPr>
          <w:p w14:paraId="448BC99A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highlight w:val="none"/>
                <w:vertAlign w:val="baseline"/>
                <w:lang w:val="en-US" w:eastAsia="zh-CN"/>
              </w:rPr>
              <w:t>发现</w:t>
            </w:r>
            <w:r>
              <w:rPr>
                <w:color w:val="auto"/>
                <w:highlight w:val="none"/>
              </w:rPr>
              <w:commentReference w:id="0"/>
            </w:r>
            <w:r>
              <w:rPr>
                <w:rFonts w:hint="eastAsia"/>
                <w:color w:val="auto"/>
                <w:sz w:val="24"/>
                <w:highlight w:val="none"/>
                <w:vertAlign w:val="baseline"/>
                <w:lang w:val="en-US" w:eastAsia="zh-CN"/>
              </w:rPr>
              <w:t>日期</w:t>
            </w:r>
          </w:p>
        </w:tc>
        <w:tc>
          <w:tcPr>
            <w:tcW w:w="391" w:type="pct"/>
            <w:vAlign w:val="center"/>
          </w:tcPr>
          <w:p w14:paraId="4C0E78A2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highlight w:val="none"/>
                <w:vertAlign w:val="baseline"/>
                <w:lang w:val="en-US" w:eastAsia="zh-CN"/>
              </w:rPr>
              <w:t>PD原因</w:t>
            </w:r>
          </w:p>
        </w:tc>
        <w:tc>
          <w:tcPr>
            <w:tcW w:w="640" w:type="pct"/>
            <w:vAlign w:val="center"/>
          </w:tcPr>
          <w:p w14:paraId="762418FD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/>
                <w:color w:val="auto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vertAlign w:val="baseline"/>
                <w:lang w:val="en-US" w:eastAsia="zh-CN"/>
              </w:rPr>
              <w:t>PD分类</w:t>
            </w:r>
          </w:p>
        </w:tc>
        <w:tc>
          <w:tcPr>
            <w:tcW w:w="970" w:type="pct"/>
            <w:vAlign w:val="center"/>
          </w:tcPr>
          <w:p w14:paraId="4ADF02F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vertAlign w:val="baseline"/>
                <w:lang w:val="en-US" w:eastAsia="zh-CN"/>
              </w:rPr>
              <w:t>对关键质量因素</w:t>
            </w:r>
          </w:p>
          <w:p w14:paraId="262CB793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/>
                <w:color w:val="auto"/>
                <w:sz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/>
                <w:color w:val="auto"/>
                <w:sz w:val="24"/>
                <w:highlight w:val="none"/>
                <w:vertAlign w:val="baseline"/>
                <w:lang w:val="en-US" w:eastAsia="zh-CN"/>
              </w:rPr>
              <w:t>（CtQ）的影响</w:t>
            </w:r>
          </w:p>
        </w:tc>
        <w:tc>
          <w:tcPr>
            <w:tcW w:w="512" w:type="pct"/>
            <w:vAlign w:val="center"/>
          </w:tcPr>
          <w:p w14:paraId="2CD5E4BB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  <w:t>处理措施</w:t>
            </w:r>
          </w:p>
        </w:tc>
        <w:tc>
          <w:tcPr>
            <w:tcW w:w="481" w:type="pct"/>
            <w:vAlign w:val="center"/>
          </w:tcPr>
          <w:p w14:paraId="4A9E93B5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  <w:t>对试验参与者的影响</w:t>
            </w:r>
          </w:p>
        </w:tc>
        <w:tc>
          <w:tcPr>
            <w:tcW w:w="508" w:type="pct"/>
            <w:vAlign w:val="center"/>
          </w:tcPr>
          <w:p w14:paraId="437D1407">
            <w:pPr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  <w:t>对研究结果的影响</w:t>
            </w:r>
          </w:p>
        </w:tc>
      </w:tr>
      <w:tr w14:paraId="78BE2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3F652EBB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4342E8D1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69A23D5C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1592C0C3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4FACC181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7E61C809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36E20447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6FD82CB3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62B1A8D1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1320E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03B494DD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51362B0A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7769F41A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12F9E434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2283E9B2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49A0E1FD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60C85BB7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4CC928AB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60BB9BBD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5F2B2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0C557835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5A42D5B2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7F950490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50BC4DBE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63398F41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4D451D28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510014AD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7510FA4D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4B6D198D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5AE06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379DD6F0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4934CC46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3E60A1BC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574D56A8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72A35023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704CB758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425D32BC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011951BF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34A3C883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54BD4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39960F11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7E77C066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7247EB90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46809ECF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2ED4333F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64E9CC78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4361FBB3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459B9DEF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2DD1DA22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540046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603F19CB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3BDDD4A0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16F6CA69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7013B01A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228190E7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56E7E874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5FC45AA6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3057EC0C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152FB4C4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50282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2E6C9218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407272F3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395A5230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01C1AA89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0D01A90E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0624C56E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78189A0B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58444F13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7403490C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48195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26FBCC57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3ABC385C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2299870A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7F40B6B1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3EAB02CA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75DF908C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228B42B9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34867E6D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6E17D104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4D27A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0E4E5B6E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5195A26C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57B35107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0B0F8A77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57FD727A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10E05372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1634122D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3C0A91DF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4E5073CE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67BD0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5F142798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32A83548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7576BF6F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31923285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435D608D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05416949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6F54E0A9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4F6180CB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41E6F646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1A13B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75A007A9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45D1BCE7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4FC1C8EA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54909C03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0AF6B683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1B102933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25D392BB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2776D06D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396646BE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1AE9A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470" w:type="pct"/>
          </w:tcPr>
          <w:p w14:paraId="60337B1E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10C1C0E0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71D7DD71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5E112EF5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1352F572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</w:p>
        </w:tc>
        <w:tc>
          <w:tcPr>
            <w:tcW w:w="970" w:type="pct"/>
          </w:tcPr>
          <w:p w14:paraId="75AF32AE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1C0B5F34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1188B6A6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281BA27A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  <w:tr w14:paraId="7ED96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470" w:type="pct"/>
          </w:tcPr>
          <w:p w14:paraId="054C3BC5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65B7B635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12" w:type="pct"/>
          </w:tcPr>
          <w:p w14:paraId="180EB416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391" w:type="pct"/>
          </w:tcPr>
          <w:p w14:paraId="654432DC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640" w:type="pct"/>
          </w:tcPr>
          <w:p w14:paraId="2C78BC8A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  <w:commentRangeStart w:id="1"/>
            <w:r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  <w:t>□重要 □一般</w:t>
            </w:r>
            <w:commentRangeEnd w:id="1"/>
            <w:r>
              <w:rPr>
                <w:color w:val="auto"/>
              </w:rPr>
              <w:commentReference w:id="1"/>
            </w:r>
          </w:p>
        </w:tc>
        <w:tc>
          <w:tcPr>
            <w:tcW w:w="970" w:type="pct"/>
          </w:tcPr>
          <w:p w14:paraId="3C524C56">
            <w:pPr>
              <w:spacing w:line="240" w:lineRule="auto"/>
              <w:ind w:left="0" w:leftChars="0" w:right="0" w:rightChars="0" w:firstLine="0" w:firstLineChars="0"/>
              <w:rPr>
                <w:rFonts w:hint="eastAsia" w:cs="Times New Roman"/>
                <w:b w:val="0"/>
                <w:bCs w:val="0"/>
                <w:color w:val="auto"/>
                <w:kern w:val="2"/>
                <w:sz w:val="24"/>
                <w:szCs w:val="24"/>
                <w:lang w:val="en-US" w:eastAsia="zh-CN"/>
              </w:rPr>
            </w:pPr>
          </w:p>
        </w:tc>
        <w:tc>
          <w:tcPr>
            <w:tcW w:w="512" w:type="pct"/>
          </w:tcPr>
          <w:p w14:paraId="6B985054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481" w:type="pct"/>
          </w:tcPr>
          <w:p w14:paraId="40723B53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  <w:tc>
          <w:tcPr>
            <w:tcW w:w="508" w:type="pct"/>
          </w:tcPr>
          <w:p w14:paraId="07B67079">
            <w:pPr>
              <w:spacing w:line="240" w:lineRule="auto"/>
              <w:ind w:left="0" w:leftChars="0" w:right="0" w:rightChars="0" w:firstLine="0" w:firstLineChars="0"/>
              <w:rPr>
                <w:rFonts w:hint="eastAsia"/>
                <w:color w:val="auto"/>
                <w:sz w:val="24"/>
                <w:vertAlign w:val="baseline"/>
                <w:lang w:val="en-US" w:eastAsia="zh-CN"/>
              </w:rPr>
            </w:pPr>
          </w:p>
        </w:tc>
      </w:tr>
    </w:tbl>
    <w:p w14:paraId="27A988D0"/>
    <w:sectPr>
      <w:headerReference r:id="rId7" w:type="default"/>
      <w:pgSz w:w="16838" w:h="11906" w:orient="landscape"/>
      <w:pgMar w:top="1418" w:right="1418" w:bottom="1418" w:left="1418" w:header="851" w:footer="850" w:gutter="567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芒果西米露" w:date="2026-08-10T14:46:18Z" w:initials="">
    <w:p w14:paraId="1D537193">
      <w:pPr>
        <w:pStyle w:val="2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顺序列调整，先发生后发现。</w:t>
      </w:r>
    </w:p>
  </w:comment>
  <w:comment w:id="1" w:author="芒果西米露" w:date="2026-08-10T11:38:42Z" w:initials="">
    <w:p w14:paraId="5FB83A8A">
      <w:pPr>
        <w:pStyle w:val="2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增加具体分类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D537193" w15:done="0"/>
  <w15:commentEx w15:paraId="5FB83A8A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B60503">
    <w:pPr>
      <w:jc w:val="left"/>
      <w:rPr>
        <w:rFonts w:hint="eastAsia" w:ascii="仿宋" w:hAnsi="仿宋" w:eastAsia="仿宋"/>
        <w:b/>
        <w:bCs/>
        <w:sz w:val="18"/>
        <w:szCs w:val="18"/>
        <w:lang w:val="en-US" w:eastAsia="zh-CN"/>
      </w:rPr>
    </w:pPr>
    <w:r>
      <w:rPr>
        <w:rFonts w:hint="eastAsia" w:ascii="仿宋" w:hAnsi="仿宋" w:eastAsia="仿宋"/>
        <w:b/>
        <w:bCs/>
        <w:sz w:val="18"/>
        <w:szCs w:val="18"/>
        <w:lang w:val="en-US" w:eastAsia="zh-CN"/>
      </w:rPr>
      <w:t>注：项目实施过程中也可使用项目组提供的表格，需在项目启动前，使用人员审核表格设计合理性。</w:t>
    </w:r>
  </w:p>
  <w:p w14:paraId="1A9756BD">
    <w:pPr>
      <w:pStyle w:val="3"/>
      <w:jc w:val="center"/>
    </w:pPr>
    <w:r>
      <w:rPr>
        <w:rFonts w:hint="eastAsia"/>
        <w:b w:val="0"/>
        <w:bCs/>
        <w:sz w:val="18"/>
        <w:szCs w:val="18"/>
        <w:lang w:val="en-US" w:eastAsia="zh-CN"/>
      </w:rPr>
      <w:t>1</w:t>
    </w:r>
    <w:r>
      <w:rPr>
        <w:lang w:val="zh-CN"/>
      </w:rPr>
      <w:t xml:space="preserve"> /</w:t>
    </w:r>
    <w:r>
      <w:rPr>
        <w:rFonts w:hint="eastAsia"/>
        <w:lang w:val="en-US" w:eastAsia="zh-CN"/>
      </w:rPr>
      <w:t xml:space="preserve">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73177F">
    <w:pPr>
      <w:pStyle w:val="4"/>
      <w:pBdr>
        <w:bottom w:val="single" w:color="auto" w:sz="4" w:space="1"/>
      </w:pBdr>
      <w:rPr>
        <w:rFonts w:hint="eastAsia"/>
        <w:sz w:val="20"/>
        <w:szCs w:val="20"/>
        <w:lang w:val="en-US" w:eastAsia="zh-CN"/>
      </w:rPr>
    </w:pPr>
  </w:p>
  <w:p w14:paraId="206D243F">
    <w:pPr>
      <w:pStyle w:val="4"/>
      <w:pBdr>
        <w:bottom w:val="single" w:color="auto" w:sz="4" w:space="1"/>
      </w:pBdr>
      <w:rPr>
        <w:rFonts w:hint="default"/>
        <w:color w:val="0000FF"/>
        <w:lang w:val="en-US"/>
      </w:rPr>
    </w:pPr>
    <w:r>
      <w:rPr>
        <w:rFonts w:hint="eastAsia"/>
        <w:sz w:val="20"/>
        <w:szCs w:val="20"/>
        <w:lang w:val="en-US" w:eastAsia="zh-CN"/>
      </w:rPr>
      <w:t xml:space="preserve">太和县人民医院药物临床试验机构                             </w:t>
    </w:r>
    <w:bookmarkStart w:id="0" w:name="_GoBack"/>
    <w:bookmarkEnd w:id="0"/>
    <w:r>
      <w:rPr>
        <w:rFonts w:hint="eastAsia"/>
        <w:sz w:val="20"/>
        <w:szCs w:val="20"/>
        <w:lang w:val="en-US" w:eastAsia="zh-CN"/>
      </w:rPr>
      <w:t xml:space="preserve">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74</w:t>
    </w:r>
    <w:r>
      <w:rPr>
        <w:rFonts w:hint="default" w:ascii="Times New Roman" w:hAnsi="Times New Roman" w:cs="Times New Roman"/>
        <w:color w:val="auto"/>
        <w:sz w:val="20"/>
        <w:szCs w:val="24"/>
        <w:lang w:val="en-US" w:eastAsia="zh-CN"/>
      </w:rPr>
      <w:t>-</w:t>
    </w:r>
    <w:r>
      <w:rPr>
        <w:rFonts w:hint="eastAsia" w:cs="Times New Roman"/>
        <w:color w:val="auto"/>
        <w:sz w:val="20"/>
        <w:szCs w:val="24"/>
        <w:lang w:val="en-US" w:eastAsia="zh-CN"/>
      </w:rPr>
      <w:t>2.0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0C8D7">
    <w:pPr>
      <w:pStyle w:val="4"/>
      <w:rPr>
        <w:rFonts w:hint="default" w:eastAsia="宋体"/>
        <w:color w:val="0000FF"/>
        <w:sz w:val="20"/>
        <w:szCs w:val="20"/>
        <w:lang w:val="en-US" w:eastAsia="zh-CN"/>
      </w:rPr>
    </w:pPr>
    <w:r>
      <w:rPr>
        <w:rFonts w:hint="eastAsia"/>
        <w:sz w:val="20"/>
        <w:szCs w:val="20"/>
      </w:rPr>
      <w:t>太和县人民</w:t>
    </w:r>
    <w:r>
      <w:rPr>
        <w:rFonts w:hint="eastAsia"/>
        <w:sz w:val="20"/>
        <w:szCs w:val="20"/>
        <w:highlight w:val="none"/>
      </w:rPr>
      <w:t>医院药物临床试验机构</w:t>
    </w:r>
    <w:r>
      <w:rPr>
        <w:rFonts w:hint="eastAsia"/>
        <w:sz w:val="20"/>
        <w:szCs w:val="20"/>
        <w:highlight w:val="none"/>
        <w:lang w:val="en-US" w:eastAsia="zh-CN"/>
      </w:rPr>
      <w:t xml:space="preserve">                             </w:t>
    </w:r>
    <w:r>
      <w:rPr>
        <w:rFonts w:hint="eastAsia"/>
        <w:sz w:val="20"/>
        <w:szCs w:val="20"/>
      </w:rPr>
      <w:t xml:space="preserve"> </w:t>
    </w:r>
    <w:r>
      <w:rPr>
        <w:rFonts w:hint="eastAsia"/>
        <w:sz w:val="20"/>
        <w:szCs w:val="20"/>
        <w:lang w:val="en-US" w:eastAsia="zh-CN"/>
      </w:rPr>
      <w:t xml:space="preserve">                                             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74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cs="Times New Roman"/>
        <w:color w:val="0000FF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color w:val="0000FF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color w:val="0000FF"/>
        <w:sz w:val="20"/>
        <w:szCs w:val="24"/>
        <w:lang w:val="en-US" w:eastAsia="zh-CN"/>
      </w:rPr>
      <w:t>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5BB383"/>
    <w:multiLevelType w:val="singleLevel"/>
    <w:tmpl w:val="DA5BB38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6B35328"/>
    <w:multiLevelType w:val="singleLevel"/>
    <w:tmpl w:val="F6B35328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芒果西米露">
    <w15:presenceInfo w15:providerId="WPS Office" w15:userId="29677586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30CD30B5"/>
    <w:rsid w:val="00BF612A"/>
    <w:rsid w:val="09E84FFF"/>
    <w:rsid w:val="0CB41A4E"/>
    <w:rsid w:val="0DBC6E0C"/>
    <w:rsid w:val="15560EFE"/>
    <w:rsid w:val="1B03607B"/>
    <w:rsid w:val="21043DD5"/>
    <w:rsid w:val="24CD6E98"/>
    <w:rsid w:val="2B2142FB"/>
    <w:rsid w:val="2C1D2D14"/>
    <w:rsid w:val="2F77098D"/>
    <w:rsid w:val="30CD30B5"/>
    <w:rsid w:val="383C2774"/>
    <w:rsid w:val="40925627"/>
    <w:rsid w:val="43834735"/>
    <w:rsid w:val="53AD1B07"/>
    <w:rsid w:val="610C14FE"/>
    <w:rsid w:val="683A1F7D"/>
    <w:rsid w:val="68F77E6E"/>
    <w:rsid w:val="6C57189D"/>
    <w:rsid w:val="736600CA"/>
    <w:rsid w:val="753D30AC"/>
    <w:rsid w:val="77E85551"/>
    <w:rsid w:val="7E973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iPriority w:val="0"/>
    <w:pPr>
      <w:jc w:val="left"/>
    </w:p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1" Type="http://schemas.microsoft.com/office/2011/relationships/people" Target="people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773</Words>
  <Characters>784</Characters>
  <Lines>0</Lines>
  <Paragraphs>0</Paragraphs>
  <TotalTime>4</TotalTime>
  <ScaleCrop>false</ScaleCrop>
  <LinksUpToDate>false</LinksUpToDate>
  <CharactersWithSpaces>829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2024-05-22T01:22:00Z</dcterms:created>
  <dc:creator>蓝胖子</dc:creator>
  <cp:lastModifiedBy>芒果西米露</cp:lastModifiedBy>
  <dcterms:modified xsi:type="dcterms:W3CDTF">2026-09-15T06:41:11Z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1B88C13084AA4B6AAA07641BCD1777E2_13</vt:lpwstr>
  </property>
  <property fmtid="{D5CDD505-2E9C-101B-9397-08002B2CF9AE}" pid="4" name="KSOTemplateDocerSaveRecord">
    <vt:lpwstr>eyJoZGlkIjoiNDhlMzE0NGMxM2M3YzFmOGZlZWE1YTNhMDRlYmEwNzMiLCJ1c2VySWQiOiIyNjQyMTk3NTkifQ==</vt:lpwstr>
  </property>
</Properties>
</file>