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3630A">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评标办法2.4.2“本项目综合评分满分为100分，其中：技术资信分值占总分值的权重为70%，价格分值占总分值的权重为30%（权重不低于10%）”更正为“本项目综合评分满分为100分，其中：技术资信分值占总分值的权重为80%，价格分值占总分值的权重为20%（权重不低于10%）”。</w:t>
      </w:r>
    </w:p>
    <w:p w14:paraId="438638C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2、管理体系认证由：</w:t>
      </w:r>
    </w:p>
    <w:tbl>
      <w:tblPr>
        <w:tblStyle w:val="5"/>
        <w:tblW w:w="41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3743"/>
        <w:gridCol w:w="1585"/>
      </w:tblGrid>
      <w:tr w14:paraId="281B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19" w:type="pct"/>
            <w:tcBorders>
              <w:top w:val="single" w:color="auto" w:sz="4" w:space="0"/>
              <w:left w:val="single" w:color="auto" w:sz="4" w:space="0"/>
              <w:bottom w:val="single" w:color="auto" w:sz="4" w:space="0"/>
              <w:right w:val="single" w:color="auto" w:sz="4" w:space="0"/>
            </w:tcBorders>
            <w:vAlign w:val="center"/>
          </w:tcPr>
          <w:p w14:paraId="670F6555">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656" w:type="pct"/>
            <w:tcBorders>
              <w:top w:val="single" w:color="auto" w:sz="4" w:space="0"/>
              <w:left w:val="single" w:color="auto" w:sz="4" w:space="0"/>
              <w:bottom w:val="single" w:color="auto" w:sz="4" w:space="0"/>
              <w:right w:val="single" w:color="auto" w:sz="4" w:space="0"/>
            </w:tcBorders>
            <w:vAlign w:val="center"/>
          </w:tcPr>
          <w:p w14:paraId="52638A09">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1124" w:type="pct"/>
            <w:tcBorders>
              <w:top w:val="single" w:color="auto" w:sz="4" w:space="0"/>
              <w:left w:val="single" w:color="auto" w:sz="4" w:space="0"/>
              <w:bottom w:val="single" w:color="auto" w:sz="4" w:space="0"/>
              <w:right w:val="single" w:color="auto" w:sz="4" w:space="0"/>
            </w:tcBorders>
            <w:vAlign w:val="center"/>
          </w:tcPr>
          <w:p w14:paraId="627B7BAE">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D71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3" w:hRule="atLeast"/>
          <w:jc w:val="center"/>
        </w:trPr>
        <w:tc>
          <w:tcPr>
            <w:tcW w:w="1219" w:type="pct"/>
            <w:tcBorders>
              <w:top w:val="single" w:color="auto" w:sz="4" w:space="0"/>
              <w:left w:val="single" w:color="auto" w:sz="4" w:space="0"/>
              <w:bottom w:val="single" w:color="auto" w:sz="4" w:space="0"/>
              <w:right w:val="single" w:color="auto" w:sz="4" w:space="0"/>
            </w:tcBorders>
            <w:vAlign w:val="center"/>
          </w:tcPr>
          <w:p w14:paraId="147EF996">
            <w:pPr>
              <w:spacing w:line="400" w:lineRule="exact"/>
              <w:ind w:left="0" w:leftChars="0" w:firstLine="0" w:firstLineChars="0"/>
              <w:jc w:val="center"/>
              <w:rPr>
                <w:rFonts w:asciiTheme="minorEastAsia" w:hAnsiTheme="minorEastAsia" w:eastAsiaTheme="minorEastAsia"/>
                <w:bCs/>
                <w:color w:val="FF0000"/>
                <w:sz w:val="24"/>
                <w:highlight w:val="none"/>
              </w:rPr>
            </w:pPr>
            <w:r>
              <w:rPr>
                <w:rFonts w:hint="eastAsia" w:ascii="宋体" w:hAnsi="宋体" w:eastAsia="宋体" w:cs="宋体"/>
                <w:b/>
                <w:bCs/>
                <w:color w:val="auto"/>
                <w:sz w:val="24"/>
                <w:szCs w:val="24"/>
                <w:highlight w:val="none"/>
                <w:lang w:val="en-US" w:eastAsia="zh-CN"/>
              </w:rPr>
              <w:t>管理体系认证</w:t>
            </w:r>
          </w:p>
        </w:tc>
        <w:tc>
          <w:tcPr>
            <w:tcW w:w="2656" w:type="pct"/>
            <w:tcBorders>
              <w:top w:val="single" w:color="auto" w:sz="4" w:space="0"/>
              <w:left w:val="single" w:color="auto" w:sz="4" w:space="0"/>
              <w:bottom w:val="single" w:color="auto" w:sz="4" w:space="0"/>
              <w:right w:val="single" w:color="auto" w:sz="4" w:space="0"/>
            </w:tcBorders>
            <w:shd w:val="clear" w:color="auto" w:fill="auto"/>
            <w:vAlign w:val="center"/>
          </w:tcPr>
          <w:p w14:paraId="6FD67E0A">
            <w:pPr>
              <w:spacing w:line="360" w:lineRule="auto"/>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供应商</w:t>
            </w:r>
            <w:r>
              <w:rPr>
                <w:rFonts w:hint="eastAsia" w:ascii="宋体" w:hAnsi="宋体" w:eastAsia="宋体"/>
                <w:color w:val="auto"/>
                <w:sz w:val="24"/>
                <w:highlight w:val="none"/>
                <w:lang w:val="en-US" w:eastAsia="zh-CN"/>
              </w:rPr>
              <w:t>具有经中国国家认证认可监督管理委员会认证机构颁发的质量管理体系认证证书、环境管理体系认证证书、职业健康安全管理体系认证证书，每提供1个，得2分，满分6分。</w:t>
            </w:r>
          </w:p>
          <w:p w14:paraId="7A66B22B">
            <w:pPr>
              <w:spacing w:line="360" w:lineRule="auto"/>
              <w:ind w:left="0" w:leftChars="0" w:firstLine="0" w:firstLineChars="0"/>
              <w:rPr>
                <w:rFonts w:hint="default" w:ascii="宋体" w:hAnsi="宋体" w:eastAsia="宋体" w:cs="宋体"/>
                <w:bCs/>
                <w:color w:val="000000"/>
                <w:kern w:val="0"/>
                <w:sz w:val="24"/>
                <w:szCs w:val="24"/>
                <w:highlight w:val="none"/>
                <w:lang w:val="en-US" w:eastAsia="zh-CN" w:bidi="ar"/>
              </w:rPr>
            </w:pPr>
            <w:r>
              <w:rPr>
                <w:rFonts w:hint="eastAsia" w:ascii="宋体" w:hAnsi="宋体" w:eastAsia="宋体"/>
                <w:b w:val="0"/>
                <w:bCs/>
                <w:color w:val="auto"/>
                <w:sz w:val="24"/>
                <w:highlight w:val="none"/>
                <w:lang w:val="en-US" w:eastAsia="zh-CN"/>
              </w:rPr>
              <w:t>注：投标文件中须提供以上证书扫描件及全国认证认可信息公共服务平台证书信息查询截图，未提供或提供不全的不得分。</w:t>
            </w:r>
          </w:p>
        </w:tc>
        <w:tc>
          <w:tcPr>
            <w:tcW w:w="1124" w:type="pct"/>
            <w:tcBorders>
              <w:top w:val="single" w:color="auto" w:sz="4" w:space="0"/>
              <w:left w:val="single" w:color="auto" w:sz="4" w:space="0"/>
              <w:bottom w:val="single" w:color="auto" w:sz="4" w:space="0"/>
              <w:right w:val="single" w:color="auto" w:sz="4" w:space="0"/>
            </w:tcBorders>
            <w:shd w:val="clear" w:color="auto" w:fill="auto"/>
            <w:vAlign w:val="center"/>
          </w:tcPr>
          <w:p w14:paraId="18E6821D">
            <w:pPr>
              <w:spacing w:line="400" w:lineRule="exact"/>
              <w:ind w:left="0" w:leftChars="0" w:firstLine="0" w:firstLineChars="0"/>
              <w:jc w:val="center"/>
              <w:rPr>
                <w:rFonts w:asciiTheme="minorEastAsia" w:hAnsiTheme="minorEastAsia" w:eastAsiaTheme="minorEastAsia" w:cstheme="minorBidi"/>
                <w:b/>
                <w:bCs/>
                <w:color w:val="FF0000"/>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0-6分</w:t>
            </w:r>
          </w:p>
        </w:tc>
      </w:tr>
    </w:tbl>
    <w:p w14:paraId="39D8C995">
      <w:pPr>
        <w:rPr>
          <w:rFonts w:hint="eastAsia"/>
          <w:lang w:val="en-US" w:eastAsia="zh-CN"/>
        </w:rPr>
      </w:pPr>
    </w:p>
    <w:p w14:paraId="0D1B76E0">
      <w:pPr>
        <w:pStyle w:val="2"/>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更正为：</w:t>
      </w:r>
    </w:p>
    <w:tbl>
      <w:tblPr>
        <w:tblStyle w:val="5"/>
        <w:tblW w:w="41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3743"/>
        <w:gridCol w:w="1585"/>
      </w:tblGrid>
      <w:tr w14:paraId="1C63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19" w:type="pct"/>
            <w:tcBorders>
              <w:top w:val="single" w:color="auto" w:sz="4" w:space="0"/>
              <w:left w:val="single" w:color="auto" w:sz="4" w:space="0"/>
              <w:bottom w:val="single" w:color="auto" w:sz="4" w:space="0"/>
              <w:right w:val="single" w:color="auto" w:sz="4" w:space="0"/>
            </w:tcBorders>
            <w:vAlign w:val="center"/>
          </w:tcPr>
          <w:p w14:paraId="53902F11">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656" w:type="pct"/>
            <w:tcBorders>
              <w:top w:val="single" w:color="auto" w:sz="4" w:space="0"/>
              <w:left w:val="single" w:color="auto" w:sz="4" w:space="0"/>
              <w:bottom w:val="single" w:color="auto" w:sz="4" w:space="0"/>
              <w:right w:val="single" w:color="auto" w:sz="4" w:space="0"/>
            </w:tcBorders>
            <w:vAlign w:val="center"/>
          </w:tcPr>
          <w:p w14:paraId="405DA119">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1124" w:type="pct"/>
            <w:tcBorders>
              <w:top w:val="single" w:color="auto" w:sz="4" w:space="0"/>
              <w:left w:val="single" w:color="auto" w:sz="4" w:space="0"/>
              <w:bottom w:val="single" w:color="auto" w:sz="4" w:space="0"/>
              <w:right w:val="single" w:color="auto" w:sz="4" w:space="0"/>
            </w:tcBorders>
            <w:vAlign w:val="center"/>
          </w:tcPr>
          <w:p w14:paraId="2941A21D">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3895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3" w:hRule="atLeast"/>
          <w:jc w:val="center"/>
        </w:trPr>
        <w:tc>
          <w:tcPr>
            <w:tcW w:w="1219" w:type="pct"/>
            <w:tcBorders>
              <w:top w:val="single" w:color="auto" w:sz="4" w:space="0"/>
              <w:left w:val="single" w:color="auto" w:sz="4" w:space="0"/>
              <w:bottom w:val="single" w:color="auto" w:sz="4" w:space="0"/>
              <w:right w:val="single" w:color="auto" w:sz="4" w:space="0"/>
            </w:tcBorders>
            <w:vAlign w:val="center"/>
          </w:tcPr>
          <w:p w14:paraId="2D02B704">
            <w:pPr>
              <w:spacing w:line="400" w:lineRule="exact"/>
              <w:ind w:left="0" w:leftChars="0" w:firstLine="0" w:firstLineChars="0"/>
              <w:jc w:val="center"/>
              <w:rPr>
                <w:rFonts w:asciiTheme="minorEastAsia" w:hAnsiTheme="minorEastAsia" w:eastAsiaTheme="minorEastAsia"/>
                <w:bCs/>
                <w:color w:val="FF0000"/>
                <w:sz w:val="24"/>
                <w:highlight w:val="none"/>
              </w:rPr>
            </w:pPr>
            <w:r>
              <w:rPr>
                <w:rFonts w:hint="eastAsia" w:ascii="宋体" w:hAnsi="宋体" w:eastAsia="宋体" w:cs="宋体"/>
                <w:b/>
                <w:bCs/>
                <w:color w:val="auto"/>
                <w:sz w:val="24"/>
                <w:szCs w:val="24"/>
                <w:highlight w:val="none"/>
                <w:lang w:val="en-US" w:eastAsia="zh-CN"/>
              </w:rPr>
              <w:t>管理体系认证</w:t>
            </w:r>
          </w:p>
        </w:tc>
        <w:tc>
          <w:tcPr>
            <w:tcW w:w="2656" w:type="pct"/>
            <w:tcBorders>
              <w:top w:val="single" w:color="auto" w:sz="4" w:space="0"/>
              <w:left w:val="single" w:color="auto" w:sz="4" w:space="0"/>
              <w:bottom w:val="single" w:color="auto" w:sz="4" w:space="0"/>
              <w:right w:val="single" w:color="auto" w:sz="4" w:space="0"/>
            </w:tcBorders>
            <w:shd w:val="clear" w:color="auto" w:fill="auto"/>
            <w:vAlign w:val="center"/>
          </w:tcPr>
          <w:p w14:paraId="044B0EE8">
            <w:pPr>
              <w:spacing w:line="360" w:lineRule="auto"/>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供应商</w:t>
            </w:r>
            <w:r>
              <w:rPr>
                <w:rFonts w:hint="eastAsia" w:ascii="宋体" w:hAnsi="宋体" w:eastAsia="宋体"/>
                <w:color w:val="auto"/>
                <w:sz w:val="24"/>
                <w:highlight w:val="none"/>
                <w:lang w:val="en-US" w:eastAsia="zh-CN"/>
              </w:rPr>
              <w:t>具有经中国国家认证认可监督管理委员会认证机构颁发的质量管理体系认证证书、环境管理体系认证证书、职业健康安全管理体系认证证书，每提供1个，得3分，满分9分。</w:t>
            </w:r>
          </w:p>
          <w:p w14:paraId="2CEF8A20">
            <w:pPr>
              <w:spacing w:line="360" w:lineRule="auto"/>
              <w:ind w:left="0" w:leftChars="0" w:firstLine="0" w:firstLineChars="0"/>
              <w:rPr>
                <w:rFonts w:hint="default" w:ascii="宋体" w:hAnsi="宋体" w:eastAsia="宋体" w:cs="宋体"/>
                <w:bCs/>
                <w:color w:val="000000"/>
                <w:kern w:val="0"/>
                <w:sz w:val="24"/>
                <w:szCs w:val="24"/>
                <w:highlight w:val="none"/>
                <w:lang w:val="en-US" w:eastAsia="zh-CN" w:bidi="ar"/>
              </w:rPr>
            </w:pPr>
            <w:r>
              <w:rPr>
                <w:rFonts w:hint="eastAsia" w:ascii="宋体" w:hAnsi="宋体" w:eastAsia="宋体"/>
                <w:b w:val="0"/>
                <w:bCs/>
                <w:color w:val="auto"/>
                <w:sz w:val="24"/>
                <w:highlight w:val="none"/>
                <w:lang w:val="en-US" w:eastAsia="zh-CN"/>
              </w:rPr>
              <w:t>注：投标文件中须提供以上证书扫描件及全国认证认可信息公共服务平台证书信息查询截图，未提供或提供不全的不得分。</w:t>
            </w:r>
          </w:p>
        </w:tc>
        <w:tc>
          <w:tcPr>
            <w:tcW w:w="1124" w:type="pct"/>
            <w:tcBorders>
              <w:top w:val="single" w:color="auto" w:sz="4" w:space="0"/>
              <w:left w:val="single" w:color="auto" w:sz="4" w:space="0"/>
              <w:bottom w:val="single" w:color="auto" w:sz="4" w:space="0"/>
              <w:right w:val="single" w:color="auto" w:sz="4" w:space="0"/>
            </w:tcBorders>
            <w:shd w:val="clear" w:color="auto" w:fill="auto"/>
            <w:vAlign w:val="center"/>
          </w:tcPr>
          <w:p w14:paraId="25747680">
            <w:pPr>
              <w:spacing w:line="400" w:lineRule="exact"/>
              <w:ind w:left="0" w:leftChars="0" w:firstLine="0" w:firstLineChars="0"/>
              <w:jc w:val="center"/>
              <w:rPr>
                <w:rFonts w:asciiTheme="minorEastAsia" w:hAnsiTheme="minorEastAsia" w:eastAsiaTheme="minorEastAsia" w:cstheme="minorBidi"/>
                <w:b/>
                <w:bCs/>
                <w:color w:val="FF0000"/>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0-9分</w:t>
            </w:r>
          </w:p>
        </w:tc>
      </w:tr>
    </w:tbl>
    <w:p w14:paraId="62A13983">
      <w:pPr>
        <w:pStyle w:val="3"/>
        <w:ind w:left="0" w:leftChars="0" w:firstLine="0" w:firstLineChars="0"/>
        <w:rPr>
          <w:rFonts w:hint="eastAsia"/>
          <w:lang w:val="en-US" w:eastAsia="zh-CN"/>
        </w:rPr>
      </w:pPr>
    </w:p>
    <w:p w14:paraId="7FCF4A45">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3、人员配备由：</w:t>
      </w:r>
    </w:p>
    <w:tbl>
      <w:tblPr>
        <w:tblStyle w:val="5"/>
        <w:tblW w:w="41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3710"/>
        <w:gridCol w:w="1621"/>
      </w:tblGrid>
      <w:tr w14:paraId="31EA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55" w:type="pct"/>
            <w:tcBorders>
              <w:top w:val="single" w:color="auto" w:sz="4" w:space="0"/>
              <w:left w:val="single" w:color="auto" w:sz="4" w:space="0"/>
              <w:bottom w:val="single" w:color="auto" w:sz="4" w:space="0"/>
              <w:right w:val="single" w:color="auto" w:sz="4" w:space="0"/>
            </w:tcBorders>
            <w:vAlign w:val="center"/>
          </w:tcPr>
          <w:p w14:paraId="75BEAA35">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606" w:type="pct"/>
            <w:tcBorders>
              <w:top w:val="single" w:color="auto" w:sz="4" w:space="0"/>
              <w:left w:val="single" w:color="auto" w:sz="4" w:space="0"/>
              <w:bottom w:val="single" w:color="auto" w:sz="4" w:space="0"/>
              <w:right w:val="single" w:color="auto" w:sz="4" w:space="0"/>
            </w:tcBorders>
            <w:vAlign w:val="center"/>
          </w:tcPr>
          <w:p w14:paraId="627F425A">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1138" w:type="pct"/>
            <w:tcBorders>
              <w:top w:val="single" w:color="auto" w:sz="4" w:space="0"/>
              <w:left w:val="single" w:color="auto" w:sz="4" w:space="0"/>
              <w:bottom w:val="single" w:color="auto" w:sz="4" w:space="0"/>
              <w:right w:val="single" w:color="auto" w:sz="4" w:space="0"/>
            </w:tcBorders>
            <w:vAlign w:val="center"/>
          </w:tcPr>
          <w:p w14:paraId="05ED1F63">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DB9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pct"/>
            <w:tcBorders>
              <w:top w:val="single" w:color="auto" w:sz="4" w:space="0"/>
              <w:left w:val="single" w:color="auto" w:sz="4" w:space="0"/>
              <w:bottom w:val="single" w:color="auto" w:sz="4" w:space="0"/>
              <w:right w:val="single" w:color="auto" w:sz="4" w:space="0"/>
            </w:tcBorders>
            <w:vAlign w:val="center"/>
          </w:tcPr>
          <w:p w14:paraId="11CD0A64">
            <w:pPr>
              <w:spacing w:line="360" w:lineRule="auto"/>
              <w:ind w:left="0" w:leftChars="0" w:firstLine="0" w:firstLineChars="0"/>
              <w:jc w:val="center"/>
              <w:rPr>
                <w:rFonts w:hint="default" w:asciiTheme="minorEastAsia" w:hAnsiTheme="minorEastAsia" w:eastAsiaTheme="minorEastAsia"/>
                <w:color w:val="FF0000"/>
                <w:sz w:val="24"/>
                <w:highlight w:val="none"/>
                <w:lang w:val="en-US" w:eastAsia="zh-CN"/>
              </w:rPr>
            </w:pPr>
            <w:r>
              <w:rPr>
                <w:rFonts w:hint="eastAsia" w:ascii="宋体" w:hAnsi="宋体" w:eastAsia="宋体" w:cs="宋体"/>
                <w:b/>
                <w:bCs/>
                <w:color w:val="auto"/>
                <w:sz w:val="24"/>
                <w:szCs w:val="24"/>
                <w:highlight w:val="none"/>
                <w:lang w:val="en-US" w:eastAsia="zh-CN"/>
              </w:rPr>
              <w:t>人员配备</w:t>
            </w:r>
          </w:p>
        </w:tc>
        <w:tc>
          <w:tcPr>
            <w:tcW w:w="2606" w:type="pct"/>
            <w:tcBorders>
              <w:top w:val="single" w:color="auto" w:sz="4" w:space="0"/>
              <w:left w:val="single" w:color="auto" w:sz="4" w:space="0"/>
              <w:bottom w:val="single" w:color="auto" w:sz="4" w:space="0"/>
              <w:right w:val="single" w:color="auto" w:sz="4" w:space="0"/>
            </w:tcBorders>
            <w:vAlign w:val="center"/>
          </w:tcPr>
          <w:p w14:paraId="30B27B14">
            <w:pPr>
              <w:spacing w:line="360" w:lineRule="auto"/>
              <w:jc w:val="both"/>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由评标委员会对供应商提供的人员配置进行评分：</w:t>
            </w:r>
          </w:p>
          <w:p w14:paraId="0156AEAF">
            <w:pPr>
              <w:spacing w:line="360" w:lineRule="auto"/>
              <w:jc w:val="left"/>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（1）具有中级及以上证书的，得4分；</w:t>
            </w:r>
          </w:p>
          <w:p w14:paraId="7FB6E784">
            <w:pPr>
              <w:spacing w:line="360" w:lineRule="auto"/>
              <w:jc w:val="left"/>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（2）具有注册核安全工程师证书的，得4分。</w:t>
            </w:r>
          </w:p>
          <w:p w14:paraId="4DF8C5AB">
            <w:pPr>
              <w:spacing w:line="360" w:lineRule="auto"/>
              <w:jc w:val="left"/>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（3）具有政府部门（含事业单位）颁发的省级及以上环境监测人员培训合格证书，每提供一人得1分，本小项满分3分。</w:t>
            </w:r>
          </w:p>
          <w:p w14:paraId="3AD4AA60">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（4）具有环境影响评价工程师证书的，每提供一人得1.5分，本小项满分3分。</w:t>
            </w:r>
          </w:p>
          <w:p w14:paraId="6B4E85CE">
            <w:pPr>
              <w:bidi w:val="0"/>
              <w:spacing w:line="360" w:lineRule="auto"/>
              <w:rPr>
                <w:rFonts w:asciiTheme="minorEastAsia" w:hAnsiTheme="minorEastAsia" w:eastAsiaTheme="minorEastAsia"/>
                <w:color w:val="FF0000"/>
                <w:highlight w:val="none"/>
              </w:rPr>
            </w:pPr>
            <w:r>
              <w:rPr>
                <w:rFonts w:hint="eastAsia" w:ascii="宋体" w:hAnsi="宋体" w:eastAsia="宋体" w:cs="宋体"/>
                <w:sz w:val="24"/>
                <w:szCs w:val="24"/>
                <w:lang w:val="en-US" w:eastAsia="zh-CN"/>
              </w:rPr>
              <w:t>注：①以上人员不含资格条件要求人员；②同一人多证的，可累计计分；③以上人员须提供证书扫描件，且须提供供应商为其缴纳的近3个月内（任意一个月）的社保证明材料，未提供或提供不全的不予计分。</w:t>
            </w:r>
          </w:p>
        </w:tc>
        <w:tc>
          <w:tcPr>
            <w:tcW w:w="1138" w:type="pct"/>
            <w:tcBorders>
              <w:top w:val="single" w:color="auto" w:sz="4" w:space="0"/>
              <w:left w:val="single" w:color="auto" w:sz="4" w:space="0"/>
              <w:bottom w:val="single" w:color="auto" w:sz="4" w:space="0"/>
              <w:right w:val="single" w:color="auto" w:sz="4" w:space="0"/>
            </w:tcBorders>
            <w:vAlign w:val="center"/>
          </w:tcPr>
          <w:p w14:paraId="31BE9265">
            <w:pPr>
              <w:spacing w:line="360" w:lineRule="auto"/>
              <w:jc w:val="center"/>
              <w:rPr>
                <w:rFonts w:asciiTheme="minorEastAsia" w:hAnsiTheme="minorEastAsia" w:eastAsiaTheme="minorEastAsia"/>
                <w:b/>
                <w:bCs/>
                <w:color w:val="FF0000"/>
                <w:sz w:val="24"/>
                <w:highlight w:val="none"/>
              </w:rPr>
            </w:pPr>
            <w:r>
              <w:rPr>
                <w:rFonts w:hint="eastAsia" w:ascii="宋体" w:hAnsi="宋体" w:cs="宋体"/>
                <w:b/>
                <w:bCs/>
                <w:sz w:val="24"/>
                <w:szCs w:val="24"/>
                <w:highlight w:val="none"/>
                <w:lang w:val="en-US" w:eastAsia="zh-CN"/>
              </w:rPr>
              <w:t>0</w:t>
            </w:r>
            <w:r>
              <w:rPr>
                <w:rFonts w:hint="eastAsia" w:ascii="宋体" w:hAnsi="宋体" w:cs="宋体"/>
                <w:b/>
                <w:bCs/>
                <w:sz w:val="24"/>
                <w:szCs w:val="24"/>
                <w:highlight w:val="none"/>
              </w:rPr>
              <w:t>-</w:t>
            </w:r>
            <w:r>
              <w:rPr>
                <w:rFonts w:hint="eastAsia" w:ascii="宋体" w:hAnsi="宋体" w:cs="宋体"/>
                <w:b/>
                <w:bCs/>
                <w:sz w:val="24"/>
                <w:szCs w:val="24"/>
                <w:highlight w:val="none"/>
                <w:lang w:val="en-US" w:eastAsia="zh-CN"/>
              </w:rPr>
              <w:t>14</w:t>
            </w:r>
            <w:r>
              <w:rPr>
                <w:rFonts w:hint="eastAsia" w:ascii="宋体" w:hAnsi="宋体" w:eastAsia="宋体" w:cs="宋体"/>
                <w:b/>
                <w:bCs/>
                <w:color w:val="auto"/>
                <w:sz w:val="24"/>
                <w:szCs w:val="24"/>
                <w:highlight w:val="none"/>
                <w:lang w:val="en-US" w:eastAsia="zh-CN"/>
              </w:rPr>
              <w:t>分</w:t>
            </w:r>
          </w:p>
        </w:tc>
      </w:tr>
    </w:tbl>
    <w:p w14:paraId="55203434">
      <w:pPr>
        <w:pStyle w:val="2"/>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更正为：</w:t>
      </w:r>
    </w:p>
    <w:tbl>
      <w:tblPr>
        <w:tblStyle w:val="5"/>
        <w:tblW w:w="41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3710"/>
        <w:gridCol w:w="1621"/>
      </w:tblGrid>
      <w:tr w14:paraId="505E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55" w:type="pct"/>
            <w:tcBorders>
              <w:top w:val="single" w:color="auto" w:sz="4" w:space="0"/>
              <w:left w:val="single" w:color="auto" w:sz="4" w:space="0"/>
              <w:bottom w:val="single" w:color="auto" w:sz="4" w:space="0"/>
              <w:right w:val="single" w:color="auto" w:sz="4" w:space="0"/>
            </w:tcBorders>
            <w:vAlign w:val="center"/>
          </w:tcPr>
          <w:p w14:paraId="7875D47D">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606" w:type="pct"/>
            <w:tcBorders>
              <w:top w:val="single" w:color="auto" w:sz="4" w:space="0"/>
              <w:left w:val="single" w:color="auto" w:sz="4" w:space="0"/>
              <w:bottom w:val="single" w:color="auto" w:sz="4" w:space="0"/>
              <w:right w:val="single" w:color="auto" w:sz="4" w:space="0"/>
            </w:tcBorders>
            <w:vAlign w:val="center"/>
          </w:tcPr>
          <w:p w14:paraId="5D913AB8">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1138" w:type="pct"/>
            <w:tcBorders>
              <w:top w:val="single" w:color="auto" w:sz="4" w:space="0"/>
              <w:left w:val="single" w:color="auto" w:sz="4" w:space="0"/>
              <w:bottom w:val="single" w:color="auto" w:sz="4" w:space="0"/>
              <w:right w:val="single" w:color="auto" w:sz="4" w:space="0"/>
            </w:tcBorders>
            <w:vAlign w:val="center"/>
          </w:tcPr>
          <w:p w14:paraId="111C8242">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7A22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pct"/>
            <w:tcBorders>
              <w:top w:val="single" w:color="auto" w:sz="4" w:space="0"/>
              <w:left w:val="single" w:color="auto" w:sz="4" w:space="0"/>
              <w:bottom w:val="single" w:color="auto" w:sz="4" w:space="0"/>
              <w:right w:val="single" w:color="auto" w:sz="4" w:space="0"/>
            </w:tcBorders>
            <w:vAlign w:val="center"/>
          </w:tcPr>
          <w:p w14:paraId="429AE032">
            <w:pPr>
              <w:spacing w:line="360" w:lineRule="auto"/>
              <w:ind w:left="0" w:leftChars="0" w:firstLine="0" w:firstLineChars="0"/>
              <w:jc w:val="center"/>
              <w:rPr>
                <w:rFonts w:hint="default" w:asciiTheme="minorEastAsia" w:hAnsiTheme="minorEastAsia" w:eastAsiaTheme="minorEastAsia"/>
                <w:color w:val="FF0000"/>
                <w:sz w:val="24"/>
                <w:highlight w:val="none"/>
                <w:lang w:val="en-US" w:eastAsia="zh-CN"/>
              </w:rPr>
            </w:pPr>
            <w:r>
              <w:rPr>
                <w:rFonts w:hint="eastAsia" w:ascii="宋体" w:hAnsi="宋体" w:eastAsia="宋体" w:cs="宋体"/>
                <w:b/>
                <w:bCs/>
                <w:color w:val="auto"/>
                <w:sz w:val="24"/>
                <w:szCs w:val="24"/>
                <w:highlight w:val="none"/>
                <w:lang w:val="en-US" w:eastAsia="zh-CN"/>
              </w:rPr>
              <w:t>人员配备</w:t>
            </w:r>
          </w:p>
        </w:tc>
        <w:tc>
          <w:tcPr>
            <w:tcW w:w="2606" w:type="pct"/>
            <w:tcBorders>
              <w:top w:val="single" w:color="auto" w:sz="4" w:space="0"/>
              <w:left w:val="single" w:color="auto" w:sz="4" w:space="0"/>
              <w:bottom w:val="single" w:color="auto" w:sz="4" w:space="0"/>
              <w:right w:val="single" w:color="auto" w:sz="4" w:space="0"/>
            </w:tcBorders>
            <w:vAlign w:val="center"/>
          </w:tcPr>
          <w:p w14:paraId="2383B25C">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由评标委员会对供应商提供的人员配置进行评分:</w:t>
            </w:r>
          </w:p>
          <w:p w14:paraId="613B782E">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（1）具有高级职称证书的，每提供1人得2分，总分6分。</w:t>
            </w:r>
          </w:p>
          <w:p w14:paraId="6A719785">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（2）具有核安全工程师证书的，每提供1人得2分，总分6分。</w:t>
            </w:r>
          </w:p>
          <w:p w14:paraId="763D93DF">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（3）具有省级及以上放射卫生技术服务机构专业技术人员能力考核且合格人员（以通知单为准），专业方向为（放射卫生检测、评价专业），每提供1人得0.5分，总分6分。</w:t>
            </w:r>
          </w:p>
          <w:p w14:paraId="73C18913">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（4）具有环境影响评价工程师证书的，每提供一人得1.5分，本小项满分3分。</w:t>
            </w:r>
          </w:p>
          <w:p w14:paraId="798F47F8">
            <w:pPr>
              <w:bidi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注：①以上人员不含资格条件要求人员；②同一人多证的，可累计计分；③以上人员须提供证书扫描件，且须提供供应商为其缴纳的近3个月内(任意一个月)的社保证明材料，未提供或提供不全的不予计分。</w:t>
            </w:r>
          </w:p>
        </w:tc>
        <w:tc>
          <w:tcPr>
            <w:tcW w:w="1138" w:type="pct"/>
            <w:tcBorders>
              <w:top w:val="single" w:color="auto" w:sz="4" w:space="0"/>
              <w:left w:val="single" w:color="auto" w:sz="4" w:space="0"/>
              <w:bottom w:val="single" w:color="auto" w:sz="4" w:space="0"/>
              <w:right w:val="single" w:color="auto" w:sz="4" w:space="0"/>
            </w:tcBorders>
            <w:vAlign w:val="center"/>
          </w:tcPr>
          <w:p w14:paraId="248BF0BA">
            <w:pPr>
              <w:spacing w:line="360" w:lineRule="auto"/>
              <w:jc w:val="center"/>
              <w:rPr>
                <w:rFonts w:asciiTheme="minorEastAsia" w:hAnsiTheme="minorEastAsia" w:eastAsiaTheme="minorEastAsia"/>
                <w:b/>
                <w:bCs/>
                <w:color w:val="FF0000"/>
                <w:sz w:val="24"/>
                <w:highlight w:val="none"/>
              </w:rPr>
            </w:pPr>
            <w:r>
              <w:rPr>
                <w:rFonts w:hint="eastAsia" w:ascii="宋体" w:hAnsi="宋体" w:cs="宋体"/>
                <w:b/>
                <w:bCs/>
                <w:sz w:val="24"/>
                <w:szCs w:val="24"/>
                <w:highlight w:val="none"/>
                <w:lang w:val="en-US" w:eastAsia="zh-CN"/>
              </w:rPr>
              <w:t>0</w:t>
            </w:r>
            <w:r>
              <w:rPr>
                <w:rFonts w:hint="eastAsia" w:ascii="宋体" w:hAnsi="宋体" w:cs="宋体"/>
                <w:b/>
                <w:bCs/>
                <w:sz w:val="24"/>
                <w:szCs w:val="24"/>
                <w:highlight w:val="none"/>
              </w:rPr>
              <w:t>-</w:t>
            </w:r>
            <w:r>
              <w:rPr>
                <w:rFonts w:hint="eastAsia" w:ascii="宋体" w:hAnsi="宋体" w:cs="宋体"/>
                <w:b/>
                <w:bCs/>
                <w:sz w:val="24"/>
                <w:szCs w:val="24"/>
                <w:highlight w:val="none"/>
                <w:lang w:val="en-US" w:eastAsia="zh-CN"/>
              </w:rPr>
              <w:t>21</w:t>
            </w:r>
            <w:r>
              <w:rPr>
                <w:rFonts w:hint="eastAsia" w:ascii="宋体" w:hAnsi="宋体" w:eastAsia="宋体" w:cs="宋体"/>
                <w:b/>
                <w:bCs/>
                <w:color w:val="auto"/>
                <w:sz w:val="24"/>
                <w:szCs w:val="24"/>
                <w:highlight w:val="none"/>
                <w:lang w:val="en-US" w:eastAsia="zh-CN"/>
              </w:rPr>
              <w:t>分</w:t>
            </w:r>
          </w:p>
        </w:tc>
      </w:tr>
    </w:tbl>
    <w:p w14:paraId="5DA94930">
      <w:pPr>
        <w:numPr>
          <w:numId w:val="0"/>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bookmarkStart w:id="0" w:name="_GoBack"/>
      <w:bookmarkEnd w:id="0"/>
      <w:r>
        <w:rPr>
          <w:rFonts w:hint="eastAsia" w:ascii="仿宋" w:hAnsi="仿宋" w:eastAsia="仿宋" w:cs="仿宋"/>
          <w:sz w:val="28"/>
          <w:szCs w:val="28"/>
          <w:lang w:val="en-US" w:eastAsia="zh-CN"/>
        </w:rPr>
        <w:t>价格分由：</w:t>
      </w:r>
    </w:p>
    <w:tbl>
      <w:tblPr>
        <w:tblStyle w:val="5"/>
        <w:tblW w:w="47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6024"/>
      </w:tblGrid>
      <w:tr w14:paraId="3CEC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pct"/>
            <w:tcBorders>
              <w:left w:val="single" w:color="auto" w:sz="4" w:space="0"/>
              <w:right w:val="single" w:color="auto" w:sz="4" w:space="0"/>
            </w:tcBorders>
            <w:vAlign w:val="center"/>
          </w:tcPr>
          <w:p w14:paraId="32E45592">
            <w:pPr>
              <w:spacing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6CCDF2D1">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分）</w:t>
            </w:r>
          </w:p>
        </w:tc>
        <w:tc>
          <w:tcPr>
            <w:tcW w:w="3694" w:type="pct"/>
            <w:tcBorders>
              <w:top w:val="single" w:color="auto" w:sz="4" w:space="0"/>
              <w:left w:val="single" w:color="auto" w:sz="4" w:space="0"/>
              <w:bottom w:val="single" w:color="auto" w:sz="4" w:space="0"/>
              <w:right w:val="single" w:color="auto" w:sz="4" w:space="0"/>
            </w:tcBorders>
            <w:vAlign w:val="center"/>
          </w:tcPr>
          <w:p w14:paraId="40897CBD">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w:t>
            </w:r>
            <w:r>
              <w:rPr>
                <w:rFonts w:hint="eastAsia" w:ascii="宋体" w:hAnsi="宋体" w:eastAsia="宋体"/>
                <w:bCs w:val="0"/>
                <w:color w:val="auto"/>
                <w:sz w:val="24"/>
                <w:highlight w:val="none"/>
                <w:lang w:val="en-US" w:eastAsia="zh-CN"/>
              </w:rPr>
              <w:t>采购</w:t>
            </w:r>
            <w:r>
              <w:rPr>
                <w:rFonts w:hint="eastAsia" w:asciiTheme="minorEastAsia" w:hAnsiTheme="minorEastAsia" w:eastAsiaTheme="minorEastAsia"/>
                <w:color w:val="auto"/>
                <w:sz w:val="24"/>
                <w:highlight w:val="none"/>
              </w:rPr>
              <w:t>文件要求且投标价格最低的投标报价为评标基准价，其价格分为满</w:t>
            </w:r>
            <w:r>
              <w:rPr>
                <w:rFonts w:hint="eastAsia" w:asciiTheme="minorEastAsia" w:hAnsi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分。其他投标人的价格分统一按照下列公式计算：</w:t>
            </w:r>
          </w:p>
          <w:p w14:paraId="39EF55F4">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％×100</w:t>
            </w:r>
          </w:p>
        </w:tc>
      </w:tr>
    </w:tbl>
    <w:p w14:paraId="4004E97F">
      <w:pPr>
        <w:pStyle w:val="2"/>
        <w:numPr>
          <w:ilvl w:val="0"/>
          <w:numId w:val="0"/>
        </w:numP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更正为：</w:t>
      </w:r>
    </w:p>
    <w:tbl>
      <w:tblPr>
        <w:tblStyle w:val="5"/>
        <w:tblW w:w="47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6024"/>
      </w:tblGrid>
      <w:tr w14:paraId="0917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05" w:type="pct"/>
            <w:tcBorders>
              <w:left w:val="single" w:color="auto" w:sz="4" w:space="0"/>
              <w:right w:val="single" w:color="auto" w:sz="4" w:space="0"/>
            </w:tcBorders>
            <w:vAlign w:val="center"/>
          </w:tcPr>
          <w:p w14:paraId="44FB42D6">
            <w:pPr>
              <w:spacing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3DA3A7F4">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分）</w:t>
            </w:r>
          </w:p>
        </w:tc>
        <w:tc>
          <w:tcPr>
            <w:tcW w:w="3694" w:type="pct"/>
            <w:tcBorders>
              <w:top w:val="single" w:color="auto" w:sz="4" w:space="0"/>
              <w:left w:val="single" w:color="auto" w:sz="4" w:space="0"/>
              <w:bottom w:val="single" w:color="auto" w:sz="4" w:space="0"/>
              <w:right w:val="single" w:color="auto" w:sz="4" w:space="0"/>
            </w:tcBorders>
            <w:vAlign w:val="center"/>
          </w:tcPr>
          <w:p w14:paraId="45A4A2F7">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w:t>
            </w:r>
            <w:r>
              <w:rPr>
                <w:rFonts w:hint="eastAsia" w:ascii="宋体" w:hAnsi="宋体" w:eastAsia="宋体"/>
                <w:bCs w:val="0"/>
                <w:color w:val="auto"/>
                <w:sz w:val="24"/>
                <w:highlight w:val="none"/>
                <w:lang w:val="en-US" w:eastAsia="zh-CN"/>
              </w:rPr>
              <w:t>采购</w:t>
            </w:r>
            <w:r>
              <w:rPr>
                <w:rFonts w:hint="eastAsia" w:asciiTheme="minorEastAsia" w:hAnsiTheme="minorEastAsia" w:eastAsiaTheme="minorEastAsia"/>
                <w:color w:val="auto"/>
                <w:sz w:val="24"/>
                <w:highlight w:val="none"/>
              </w:rPr>
              <w:t>文件要求且投标价格最低的投标报价为评标基准价，其价格分为满</w:t>
            </w:r>
            <w:r>
              <w:rPr>
                <w:rFonts w:hint="eastAsia" w:asciiTheme="minorEastAsia" w:hAnsi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分。其他投标人的价格分统一按照下列公式计算：</w:t>
            </w:r>
          </w:p>
          <w:p w14:paraId="65AACEFD">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eastAsiaTheme="minorEastAsia"/>
                <w:color w:val="auto"/>
                <w:sz w:val="24"/>
                <w:highlight w:val="none"/>
                <w:u w:val="single"/>
                <w:lang w:val="en-US" w:eastAsia="zh-CN"/>
              </w:rPr>
              <w:t>2</w:t>
            </w:r>
            <w:r>
              <w:rPr>
                <w:rFonts w:hint="eastAsia" w:asciiTheme="minorEastAsia" w:hAnsiTheme="minorEastAsia"/>
                <w:color w:val="auto"/>
                <w:sz w:val="24"/>
                <w:highlight w:val="none"/>
                <w:u w:val="single"/>
                <w:lang w:val="en-US" w:eastAsia="zh-CN"/>
              </w:rPr>
              <w:t>0</w:t>
            </w:r>
            <w:r>
              <w:rPr>
                <w:rFonts w:hint="eastAsia" w:asciiTheme="minorEastAsia" w:hAnsiTheme="minorEastAsia" w:eastAsiaTheme="minorEastAsia"/>
                <w:color w:val="auto"/>
                <w:sz w:val="24"/>
                <w:highlight w:val="none"/>
              </w:rPr>
              <w:t>％×100</w:t>
            </w:r>
          </w:p>
        </w:tc>
      </w:tr>
    </w:tbl>
    <w:p w14:paraId="1B1AC192">
      <w:pPr>
        <w:bidi w:val="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561A6"/>
    <w:rsid w:val="007A6F63"/>
    <w:rsid w:val="00847DE1"/>
    <w:rsid w:val="008F6EB2"/>
    <w:rsid w:val="010A6538"/>
    <w:rsid w:val="01E70628"/>
    <w:rsid w:val="02317AF5"/>
    <w:rsid w:val="03A367D0"/>
    <w:rsid w:val="04DC01EC"/>
    <w:rsid w:val="05CF7D50"/>
    <w:rsid w:val="06F55595"/>
    <w:rsid w:val="089B216C"/>
    <w:rsid w:val="09175C96"/>
    <w:rsid w:val="09A908B8"/>
    <w:rsid w:val="09FE29B2"/>
    <w:rsid w:val="0A200B7B"/>
    <w:rsid w:val="0A261F09"/>
    <w:rsid w:val="0C3703FE"/>
    <w:rsid w:val="0D9A0C44"/>
    <w:rsid w:val="0DB31D06"/>
    <w:rsid w:val="0E9C09EC"/>
    <w:rsid w:val="0EF600FC"/>
    <w:rsid w:val="0F6B0788"/>
    <w:rsid w:val="0FE8213B"/>
    <w:rsid w:val="107C2883"/>
    <w:rsid w:val="10DC1574"/>
    <w:rsid w:val="116577BB"/>
    <w:rsid w:val="12CC7AF2"/>
    <w:rsid w:val="131E40C5"/>
    <w:rsid w:val="133D454B"/>
    <w:rsid w:val="13785584"/>
    <w:rsid w:val="14103A0E"/>
    <w:rsid w:val="14495172"/>
    <w:rsid w:val="1703785A"/>
    <w:rsid w:val="17FD641A"/>
    <w:rsid w:val="195919B3"/>
    <w:rsid w:val="195E6FCA"/>
    <w:rsid w:val="1AF000F5"/>
    <w:rsid w:val="1B862808"/>
    <w:rsid w:val="1BED0AD9"/>
    <w:rsid w:val="1C0A51E7"/>
    <w:rsid w:val="1C8B457A"/>
    <w:rsid w:val="20C77B4A"/>
    <w:rsid w:val="210F504D"/>
    <w:rsid w:val="22552F34"/>
    <w:rsid w:val="22D36C7A"/>
    <w:rsid w:val="2309444A"/>
    <w:rsid w:val="234B527A"/>
    <w:rsid w:val="23623B5A"/>
    <w:rsid w:val="24D661E4"/>
    <w:rsid w:val="25710085"/>
    <w:rsid w:val="2613738E"/>
    <w:rsid w:val="26655E3B"/>
    <w:rsid w:val="27814EF7"/>
    <w:rsid w:val="27AE3812"/>
    <w:rsid w:val="27DF5779"/>
    <w:rsid w:val="28546167"/>
    <w:rsid w:val="29671ECA"/>
    <w:rsid w:val="2A3A75DF"/>
    <w:rsid w:val="2A895E70"/>
    <w:rsid w:val="2BAE3DE1"/>
    <w:rsid w:val="2C3167C0"/>
    <w:rsid w:val="2CC66F08"/>
    <w:rsid w:val="2DC378EB"/>
    <w:rsid w:val="2DE0224B"/>
    <w:rsid w:val="2E5B7B24"/>
    <w:rsid w:val="2E905A1F"/>
    <w:rsid w:val="2E9F3EB4"/>
    <w:rsid w:val="2F430CE4"/>
    <w:rsid w:val="301D1535"/>
    <w:rsid w:val="324F174E"/>
    <w:rsid w:val="327411B4"/>
    <w:rsid w:val="331A7FAD"/>
    <w:rsid w:val="33305A23"/>
    <w:rsid w:val="33B026C0"/>
    <w:rsid w:val="345E211C"/>
    <w:rsid w:val="351B1DBB"/>
    <w:rsid w:val="3592207D"/>
    <w:rsid w:val="35DA3A24"/>
    <w:rsid w:val="36176A26"/>
    <w:rsid w:val="36486124"/>
    <w:rsid w:val="36716136"/>
    <w:rsid w:val="36FB1EA4"/>
    <w:rsid w:val="37427AD3"/>
    <w:rsid w:val="37CB1876"/>
    <w:rsid w:val="3809239F"/>
    <w:rsid w:val="39537D75"/>
    <w:rsid w:val="395D29A2"/>
    <w:rsid w:val="3A830B2E"/>
    <w:rsid w:val="3AD60C5E"/>
    <w:rsid w:val="3AF15A98"/>
    <w:rsid w:val="3BA1126C"/>
    <w:rsid w:val="3BB05953"/>
    <w:rsid w:val="3C7921E9"/>
    <w:rsid w:val="3CED04E1"/>
    <w:rsid w:val="40297A82"/>
    <w:rsid w:val="40E439A9"/>
    <w:rsid w:val="431E13F4"/>
    <w:rsid w:val="4363797B"/>
    <w:rsid w:val="43776D56"/>
    <w:rsid w:val="44504DCF"/>
    <w:rsid w:val="44915BF6"/>
    <w:rsid w:val="44BA15F0"/>
    <w:rsid w:val="44FC5765"/>
    <w:rsid w:val="45230F44"/>
    <w:rsid w:val="45401AF6"/>
    <w:rsid w:val="45D73ADC"/>
    <w:rsid w:val="46026DAB"/>
    <w:rsid w:val="461940F5"/>
    <w:rsid w:val="469F45FA"/>
    <w:rsid w:val="46AA2F9F"/>
    <w:rsid w:val="46C44060"/>
    <w:rsid w:val="47A0687C"/>
    <w:rsid w:val="47B02837"/>
    <w:rsid w:val="48EA3B26"/>
    <w:rsid w:val="4AE20F59"/>
    <w:rsid w:val="4B693428"/>
    <w:rsid w:val="4C0D46FC"/>
    <w:rsid w:val="4D151ABA"/>
    <w:rsid w:val="4EAA6232"/>
    <w:rsid w:val="50760AC1"/>
    <w:rsid w:val="50E61077"/>
    <w:rsid w:val="51B51175"/>
    <w:rsid w:val="51C55131"/>
    <w:rsid w:val="5237602E"/>
    <w:rsid w:val="529F5982"/>
    <w:rsid w:val="53530C46"/>
    <w:rsid w:val="53FD32A8"/>
    <w:rsid w:val="55760C1C"/>
    <w:rsid w:val="55F12998"/>
    <w:rsid w:val="5621327D"/>
    <w:rsid w:val="562C577E"/>
    <w:rsid w:val="59126EAD"/>
    <w:rsid w:val="596516D3"/>
    <w:rsid w:val="59AF294E"/>
    <w:rsid w:val="5ADF7263"/>
    <w:rsid w:val="5B993FF7"/>
    <w:rsid w:val="5C515F3F"/>
    <w:rsid w:val="5E371164"/>
    <w:rsid w:val="5EE035AA"/>
    <w:rsid w:val="5F08270F"/>
    <w:rsid w:val="61DA0784"/>
    <w:rsid w:val="635602DE"/>
    <w:rsid w:val="64F658D5"/>
    <w:rsid w:val="65A17F37"/>
    <w:rsid w:val="66383CCB"/>
    <w:rsid w:val="66EC0A54"/>
    <w:rsid w:val="670D6F06"/>
    <w:rsid w:val="67D6379C"/>
    <w:rsid w:val="68064081"/>
    <w:rsid w:val="682D7860"/>
    <w:rsid w:val="68C31F72"/>
    <w:rsid w:val="68C85D63"/>
    <w:rsid w:val="690F6F65"/>
    <w:rsid w:val="694A2693"/>
    <w:rsid w:val="699851AD"/>
    <w:rsid w:val="69A2427D"/>
    <w:rsid w:val="69BB70ED"/>
    <w:rsid w:val="6AEF52A0"/>
    <w:rsid w:val="6B2A62D8"/>
    <w:rsid w:val="6C1F1BB5"/>
    <w:rsid w:val="6C733CAF"/>
    <w:rsid w:val="6E657628"/>
    <w:rsid w:val="6E661D1D"/>
    <w:rsid w:val="6E7855AD"/>
    <w:rsid w:val="6EA168B2"/>
    <w:rsid w:val="6F0F465A"/>
    <w:rsid w:val="703B4AE4"/>
    <w:rsid w:val="714D4ACF"/>
    <w:rsid w:val="71D945B4"/>
    <w:rsid w:val="7315161C"/>
    <w:rsid w:val="73691B22"/>
    <w:rsid w:val="73E34995"/>
    <w:rsid w:val="75C31803"/>
    <w:rsid w:val="762D3121"/>
    <w:rsid w:val="76854D0B"/>
    <w:rsid w:val="76B4114C"/>
    <w:rsid w:val="76C21ABB"/>
    <w:rsid w:val="77626DFA"/>
    <w:rsid w:val="77690189"/>
    <w:rsid w:val="777F175A"/>
    <w:rsid w:val="77D31AA6"/>
    <w:rsid w:val="788D60F9"/>
    <w:rsid w:val="78E421BD"/>
    <w:rsid w:val="793A6280"/>
    <w:rsid w:val="79442C5B"/>
    <w:rsid w:val="7A0E5017"/>
    <w:rsid w:val="7AA241F0"/>
    <w:rsid w:val="7BC02341"/>
    <w:rsid w:val="7C7A6994"/>
    <w:rsid w:val="7CB561A6"/>
    <w:rsid w:val="7D407BDD"/>
    <w:rsid w:val="7D67516A"/>
    <w:rsid w:val="7D782ED3"/>
    <w:rsid w:val="7E9A331D"/>
    <w:rsid w:val="7E9E6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style>
  <w:style w:type="paragraph" w:styleId="3">
    <w:name w:val="toc 8"/>
    <w:basedOn w:val="1"/>
    <w:next w:val="1"/>
    <w:qFormat/>
    <w:uiPriority w:val="0"/>
    <w:pPr>
      <w:suppressAutoHyphens w:val="0"/>
      <w:ind w:left="2940" w:leftChars="1400"/>
    </w:pPr>
    <w:rPr>
      <w:rFonts w:ascii="Calibri" w:hAnsi="Calibri"/>
      <w:kern w:val="2"/>
      <w:szCs w:val="22"/>
      <w:lang w:eastAsia="zh-CN"/>
    </w:rPr>
  </w:style>
  <w:style w:type="paragraph" w:styleId="4">
    <w:name w:val="annotation text"/>
    <w:basedOn w:val="1"/>
    <w:qFormat/>
    <w:uiPriority w:val="0"/>
    <w:pPr>
      <w:jc w:val="left"/>
    </w:pPr>
    <w:rPr>
      <w:color w:val="262626" w:themeColor="text1" w:themeTint="D9"/>
      <w14:textFill>
        <w14:solidFill>
          <w14:schemeClr w14:val="tx1">
            <w14:lumMod w14:val="85000"/>
            <w14:lumOff w14:val="15000"/>
          </w14:schemeClr>
        </w14:solidFill>
      </w14:textFil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1226</Words>
  <Characters>1272</Characters>
  <Lines>0</Lines>
  <Paragraphs>0</Paragraphs>
  <TotalTime>0</TotalTime>
  <ScaleCrop>false</ScaleCrop>
  <LinksUpToDate>false</LinksUpToDate>
  <CharactersWithSpaces>1276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2026-04-30T06:57:00Z</dcterms:created>
  <dc:creator>李正雷</dc:creator>
  <cp:lastModifiedBy>Administrator</cp:lastModifiedBy>
  <dcterms:modified xsi:type="dcterms:W3CDTF">2026-09-09T13:14:01Z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9EEA5E7E3ED9456D8D10710299ECF8ED_11</vt:lpwstr>
  </property>
  <property fmtid="{D5CDD505-2E9C-101B-9397-08002B2CF9AE}" pid="4" name="KSOTemplateDocerSaveRecord">
    <vt:lpwstr>eyJoZGlkIjoiNWI5YWU4NjkyODc1NDU3YWUyZTc1OWRiODZmOGRjMTIiLCJ1c2VySWQiOiI3Mzk2MDQwOTUifQ==</vt:lpwstr>
  </property>
</Properties>
</file>