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A5FE8">
      <w:pPr>
        <w:spacing w:line="400" w:lineRule="exact"/>
        <w:jc w:val="center"/>
        <w:rPr>
          <w:rFonts w:hint="eastAsia" w:ascii="宋体" w:hAnsi="宋体" w:cs="宋体"/>
          <w:b/>
          <w:bCs/>
          <w:sz w:val="24"/>
          <w:szCs w:val="24"/>
          <w:lang w:val="en-US" w:eastAsia="zh-CN"/>
        </w:rPr>
      </w:pPr>
    </w:p>
    <w:p w14:paraId="293AFF7E">
      <w:pPr>
        <w:spacing w:line="400" w:lineRule="exact"/>
        <w:jc w:val="center"/>
        <w:rPr>
          <w:rFonts w:hint="eastAsia" w:ascii="宋体" w:hAnsi="宋体" w:cs="宋体"/>
          <w:b/>
          <w:bCs/>
          <w:sz w:val="24"/>
          <w:szCs w:val="24"/>
        </w:rPr>
      </w:pPr>
      <w:r>
        <w:rPr>
          <w:rFonts w:hint="eastAsia" w:ascii="宋体" w:hAnsi="宋体" w:cs="宋体"/>
          <w:b/>
          <w:bCs/>
          <w:sz w:val="24"/>
          <w:szCs w:val="24"/>
          <w:lang w:val="en-US" w:eastAsia="zh-CN"/>
        </w:rPr>
        <w:t>临床试验项目自查表（药物）</w:t>
      </w:r>
    </w:p>
    <w:tbl>
      <w:tblPr>
        <w:tblStyle w:val="5"/>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8"/>
        <w:gridCol w:w="5525"/>
        <w:gridCol w:w="1134"/>
        <w:gridCol w:w="1275"/>
      </w:tblGrid>
      <w:tr w14:paraId="4BF6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5" w:hRule="atLeast"/>
        </w:trPr>
        <w:tc>
          <w:tcPr>
            <w:tcW w:w="958" w:type="dxa"/>
            <w:shd w:val="clear" w:color="auto" w:fill="DBE3F4" w:themeFill="accent1" w:themeFillTint="32"/>
            <w:noWrap/>
            <w:vAlign w:val="center"/>
          </w:tcPr>
          <w:p w14:paraId="13AF016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lang w:val="en-US" w:eastAsia="zh-CN"/>
              </w:rPr>
            </w:pPr>
            <w:r>
              <w:rPr>
                <w:rFonts w:hint="default" w:ascii="Times New Roman" w:hAnsi="Times New Roman" w:cs="Times New Roman"/>
                <w:b/>
                <w:bCs/>
                <w:sz w:val="20"/>
                <w:szCs w:val="20"/>
                <w:lang w:val="en-US" w:eastAsia="zh-CN"/>
              </w:rPr>
              <w:t>1</w:t>
            </w:r>
          </w:p>
        </w:tc>
        <w:tc>
          <w:tcPr>
            <w:tcW w:w="5525" w:type="dxa"/>
            <w:shd w:val="clear" w:color="auto" w:fill="DBE3F4" w:themeFill="accent1" w:themeFillTint="32"/>
            <w:vAlign w:val="center"/>
          </w:tcPr>
          <w:p w14:paraId="3B03924E">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szCs w:val="21"/>
                <w:lang w:val="en-US"/>
              </w:rPr>
            </w:pPr>
            <w:r>
              <w:rPr>
                <w:rFonts w:hint="default" w:ascii="Times New Roman" w:hAnsi="Times New Roman" w:eastAsia="宋体" w:cs="Times New Roman"/>
                <w:b/>
                <w:bCs/>
                <w:kern w:val="2"/>
                <w:sz w:val="21"/>
                <w:szCs w:val="21"/>
                <w:lang w:val="en-US" w:eastAsia="zh-CN" w:bidi="ar"/>
              </w:rPr>
              <w:t>临床试验许可与条件</w:t>
            </w:r>
          </w:p>
        </w:tc>
        <w:tc>
          <w:tcPr>
            <w:tcW w:w="1134" w:type="dxa"/>
            <w:shd w:val="clear" w:color="auto" w:fill="DBE3F4" w:themeFill="accent1" w:themeFillTint="32"/>
            <w:vAlign w:val="center"/>
          </w:tcPr>
          <w:p w14:paraId="1955CDFC">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szCs w:val="21"/>
                <w:lang w:val="en-US"/>
              </w:rPr>
            </w:pPr>
            <w:r>
              <w:rPr>
                <w:rFonts w:hint="default" w:ascii="Times New Roman" w:hAnsi="Times New Roman" w:eastAsia="宋体" w:cs="Times New Roman"/>
                <w:b/>
                <w:bCs/>
                <w:kern w:val="2"/>
                <w:sz w:val="21"/>
                <w:szCs w:val="21"/>
                <w:lang w:val="en-US" w:eastAsia="zh-CN" w:bidi="ar"/>
              </w:rPr>
              <w:t>填“√”或“×”</w:t>
            </w:r>
          </w:p>
        </w:tc>
        <w:tc>
          <w:tcPr>
            <w:tcW w:w="1275" w:type="dxa"/>
            <w:shd w:val="clear" w:color="auto" w:fill="DBE3F4" w:themeFill="accent1" w:themeFillTint="32"/>
            <w:noWrap/>
            <w:vAlign w:val="center"/>
          </w:tcPr>
          <w:p w14:paraId="1329211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szCs w:val="21"/>
                <w:lang w:val="en-US"/>
              </w:rPr>
            </w:pPr>
            <w:r>
              <w:rPr>
                <w:rFonts w:hint="default" w:ascii="Times New Roman" w:hAnsi="Times New Roman" w:eastAsia="宋体" w:cs="Times New Roman"/>
                <w:b/>
                <w:bCs/>
                <w:kern w:val="2"/>
                <w:sz w:val="21"/>
                <w:szCs w:val="21"/>
                <w:lang w:val="en-US" w:eastAsia="zh-CN" w:bidi="ar"/>
              </w:rPr>
              <w:t>若为“×”，请备注原因</w:t>
            </w:r>
          </w:p>
        </w:tc>
      </w:tr>
      <w:tr w14:paraId="299F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8" w:type="dxa"/>
            <w:shd w:val="clear" w:color="auto" w:fill="auto"/>
            <w:vAlign w:val="center"/>
          </w:tcPr>
          <w:p w14:paraId="446DD78E">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1.1</w:t>
            </w:r>
          </w:p>
        </w:tc>
        <w:tc>
          <w:tcPr>
            <w:tcW w:w="5525" w:type="dxa"/>
            <w:shd w:val="clear" w:color="auto" w:fill="auto"/>
            <w:vAlign w:val="center"/>
          </w:tcPr>
          <w:p w14:paraId="6488FEF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药品监督管理部门的许可/备案</w:t>
            </w:r>
            <w:r>
              <w:rPr>
                <w:rFonts w:hint="eastAsia" w:cs="Times New Roman"/>
                <w:kern w:val="2"/>
                <w:sz w:val="21"/>
                <w:szCs w:val="21"/>
                <w:lang w:val="en-US" w:eastAsia="zh-CN" w:bidi="ar"/>
              </w:rPr>
              <w:t>。</w:t>
            </w:r>
          </w:p>
        </w:tc>
        <w:tc>
          <w:tcPr>
            <w:tcW w:w="1134" w:type="dxa"/>
            <w:shd w:val="clear" w:color="auto" w:fill="auto"/>
            <w:noWrap/>
            <w:vAlign w:val="bottom"/>
          </w:tcPr>
          <w:p w14:paraId="57E3C2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shd w:val="clear" w:color="auto" w:fill="auto"/>
            <w:vAlign w:val="center"/>
          </w:tcPr>
          <w:p w14:paraId="3012089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77E8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58" w:type="dxa"/>
            <w:shd w:val="clear" w:color="auto" w:fill="auto"/>
            <w:vAlign w:val="center"/>
          </w:tcPr>
          <w:p w14:paraId="2A8F5CB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1.2</w:t>
            </w:r>
          </w:p>
        </w:tc>
        <w:tc>
          <w:tcPr>
            <w:tcW w:w="5525" w:type="dxa"/>
            <w:shd w:val="clear" w:color="auto" w:fill="auto"/>
            <w:vAlign w:val="center"/>
          </w:tcPr>
          <w:p w14:paraId="6492FA1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具有药物临床试验伦理委员会批件。</w:t>
            </w:r>
          </w:p>
        </w:tc>
        <w:tc>
          <w:tcPr>
            <w:tcW w:w="1134" w:type="dxa"/>
            <w:shd w:val="clear" w:color="auto" w:fill="auto"/>
            <w:noWrap/>
            <w:vAlign w:val="bottom"/>
          </w:tcPr>
          <w:p w14:paraId="19ED713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21AC25D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3F7A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8" w:type="dxa"/>
            <w:shd w:val="clear" w:color="auto" w:fill="auto"/>
            <w:vAlign w:val="center"/>
          </w:tcPr>
          <w:p w14:paraId="601FBBB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1.3</w:t>
            </w:r>
          </w:p>
        </w:tc>
        <w:tc>
          <w:tcPr>
            <w:tcW w:w="5525" w:type="dxa"/>
            <w:shd w:val="clear" w:color="auto" w:fill="auto"/>
            <w:vAlign w:val="center"/>
          </w:tcPr>
          <w:p w14:paraId="3B684DE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药物临床试验开始实施时间与许可/备案时间逻辑相符</w:t>
            </w:r>
            <w:r>
              <w:rPr>
                <w:rFonts w:hint="eastAsia" w:cs="Times New Roman"/>
                <w:kern w:val="2"/>
                <w:sz w:val="21"/>
                <w:szCs w:val="21"/>
                <w:lang w:val="en-US" w:eastAsia="zh-CN" w:bidi="ar"/>
              </w:rPr>
              <w:t>。</w:t>
            </w:r>
          </w:p>
        </w:tc>
        <w:tc>
          <w:tcPr>
            <w:tcW w:w="1134" w:type="dxa"/>
            <w:shd w:val="clear" w:color="auto" w:fill="auto"/>
            <w:noWrap/>
            <w:vAlign w:val="bottom"/>
          </w:tcPr>
          <w:p w14:paraId="6810AD6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6CE81D84">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4E54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958" w:type="dxa"/>
            <w:shd w:val="clear" w:color="auto" w:fill="auto"/>
            <w:vAlign w:val="center"/>
          </w:tcPr>
          <w:p w14:paraId="7DB43D6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1.4</w:t>
            </w:r>
          </w:p>
        </w:tc>
        <w:tc>
          <w:tcPr>
            <w:tcW w:w="5525" w:type="dxa"/>
            <w:shd w:val="clear" w:color="auto" w:fill="auto"/>
            <w:vAlign w:val="center"/>
          </w:tcPr>
          <w:p w14:paraId="335BA48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药物临床试验开始实施时间不早于启动会通知函时间</w:t>
            </w:r>
            <w:r>
              <w:rPr>
                <w:rFonts w:hint="eastAsia" w:cs="Times New Roman"/>
                <w:kern w:val="2"/>
                <w:sz w:val="21"/>
                <w:szCs w:val="21"/>
                <w:lang w:val="en-US" w:eastAsia="zh-CN" w:bidi="ar"/>
              </w:rPr>
              <w:t>。</w:t>
            </w:r>
          </w:p>
        </w:tc>
        <w:tc>
          <w:tcPr>
            <w:tcW w:w="1134" w:type="dxa"/>
            <w:shd w:val="clear" w:color="auto" w:fill="auto"/>
            <w:noWrap/>
            <w:vAlign w:val="bottom"/>
          </w:tcPr>
          <w:p w14:paraId="7B83A0D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6AF5103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6050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958" w:type="dxa"/>
            <w:shd w:val="clear" w:color="auto" w:fill="auto"/>
            <w:vAlign w:val="center"/>
          </w:tcPr>
          <w:p w14:paraId="608F8E7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1.5</w:t>
            </w:r>
          </w:p>
        </w:tc>
        <w:tc>
          <w:tcPr>
            <w:tcW w:w="5525" w:type="dxa"/>
            <w:shd w:val="clear" w:color="auto" w:fill="auto"/>
            <w:vAlign w:val="center"/>
          </w:tcPr>
          <w:p w14:paraId="23240F1C">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kern w:val="2"/>
                <w:sz w:val="21"/>
                <w:szCs w:val="21"/>
                <w:lang w:val="en-US" w:eastAsia="zh-CN" w:bidi="ar"/>
              </w:rPr>
              <w:t>药物临床试验在具备相应条件并按规定备案的药物临床试验机构开展。其中,疫苗临床试验应当由符合NMPA规定的三级医疗机构或者省级以上疾病预防控制机构实施或者组织实施。</w:t>
            </w:r>
          </w:p>
        </w:tc>
        <w:tc>
          <w:tcPr>
            <w:tcW w:w="1134" w:type="dxa"/>
            <w:shd w:val="clear" w:color="auto" w:fill="auto"/>
            <w:noWrap/>
            <w:vAlign w:val="bottom"/>
          </w:tcPr>
          <w:p w14:paraId="61BF29C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45CE5AF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1871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958" w:type="dxa"/>
            <w:shd w:val="clear" w:color="auto" w:fill="auto"/>
            <w:vAlign w:val="center"/>
          </w:tcPr>
          <w:p w14:paraId="32E0FE7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1.6</w:t>
            </w:r>
          </w:p>
        </w:tc>
        <w:tc>
          <w:tcPr>
            <w:tcW w:w="5525" w:type="dxa"/>
            <w:shd w:val="clear" w:color="auto" w:fill="auto"/>
            <w:vAlign w:val="center"/>
          </w:tcPr>
          <w:p w14:paraId="4050C07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研究者、药物临床试验机构与申办者在试验开始前签署临床试验合同，对相关的责任义务进行约定。</w:t>
            </w:r>
          </w:p>
        </w:tc>
        <w:tc>
          <w:tcPr>
            <w:tcW w:w="1134" w:type="dxa"/>
            <w:shd w:val="clear" w:color="auto" w:fill="auto"/>
            <w:noWrap/>
            <w:vAlign w:val="bottom"/>
          </w:tcPr>
          <w:p w14:paraId="2D5D17EC">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6DD213D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2A2A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958" w:type="dxa"/>
            <w:shd w:val="clear" w:color="auto" w:fill="auto"/>
            <w:vAlign w:val="center"/>
          </w:tcPr>
          <w:p w14:paraId="7865FF1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1.7</w:t>
            </w:r>
          </w:p>
        </w:tc>
        <w:tc>
          <w:tcPr>
            <w:tcW w:w="5525" w:type="dxa"/>
            <w:shd w:val="clear" w:color="auto" w:fill="auto"/>
            <w:vAlign w:val="center"/>
          </w:tcPr>
          <w:p w14:paraId="5683190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配备与所承担药物临床试验相适应的研究者，研究者具备与开展工作相适应的资质和能力，职责、分工、培训、授权清晰合理。</w:t>
            </w:r>
          </w:p>
        </w:tc>
        <w:tc>
          <w:tcPr>
            <w:tcW w:w="1134" w:type="dxa"/>
            <w:shd w:val="clear" w:color="auto" w:fill="auto"/>
            <w:noWrap/>
            <w:vAlign w:val="bottom"/>
          </w:tcPr>
          <w:p w14:paraId="1C38E73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6F4E22D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4819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958" w:type="dxa"/>
            <w:shd w:val="clear" w:color="auto" w:fill="auto"/>
            <w:vAlign w:val="center"/>
          </w:tcPr>
          <w:p w14:paraId="2D914FD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1.8</w:t>
            </w:r>
          </w:p>
        </w:tc>
        <w:tc>
          <w:tcPr>
            <w:tcW w:w="5525" w:type="dxa"/>
            <w:shd w:val="clear" w:color="auto" w:fill="auto"/>
            <w:vAlign w:val="center"/>
          </w:tcPr>
          <w:p w14:paraId="0B78EBA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被授权人员得到与授权内容相应的培训，并备药物临床试验所需的专业知识、培训经历和技术能力。（具备培训记录、签到表等）</w:t>
            </w:r>
          </w:p>
        </w:tc>
        <w:tc>
          <w:tcPr>
            <w:tcW w:w="1134" w:type="dxa"/>
            <w:shd w:val="clear" w:color="auto" w:fill="auto"/>
            <w:noWrap/>
            <w:vAlign w:val="bottom"/>
          </w:tcPr>
          <w:p w14:paraId="55C8863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176B16E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79E0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958" w:type="dxa"/>
            <w:shd w:val="clear" w:color="auto" w:fill="auto"/>
            <w:vAlign w:val="center"/>
          </w:tcPr>
          <w:p w14:paraId="69D4E3A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1.9</w:t>
            </w:r>
          </w:p>
        </w:tc>
        <w:tc>
          <w:tcPr>
            <w:tcW w:w="5525" w:type="dxa"/>
            <w:shd w:val="clear" w:color="auto" w:fill="auto"/>
            <w:vAlign w:val="center"/>
          </w:tcPr>
          <w:p w14:paraId="2F89174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对受试者的相关医学判断和处理由具有执业资格的研究者执行并记录。</w:t>
            </w:r>
          </w:p>
        </w:tc>
        <w:tc>
          <w:tcPr>
            <w:tcW w:w="1134" w:type="dxa"/>
            <w:shd w:val="clear" w:color="auto" w:fill="auto"/>
            <w:noWrap/>
            <w:vAlign w:val="bottom"/>
          </w:tcPr>
          <w:p w14:paraId="101133E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7A987B1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0890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958" w:type="dxa"/>
            <w:shd w:val="clear" w:color="auto" w:fill="auto"/>
            <w:vAlign w:val="center"/>
          </w:tcPr>
          <w:p w14:paraId="32862281">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1.10</w:t>
            </w:r>
          </w:p>
        </w:tc>
        <w:tc>
          <w:tcPr>
            <w:tcW w:w="5525" w:type="dxa"/>
            <w:shd w:val="clear" w:color="auto" w:fill="auto"/>
            <w:vAlign w:val="center"/>
          </w:tcPr>
          <w:p w14:paraId="4B95E26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医疗机构临床实验室应保证检测系统的完整性和有效性，对需要校准的检验仪器、检验项目和对临床检验结果有影响的辅助设备定期进行校准。</w:t>
            </w:r>
          </w:p>
        </w:tc>
        <w:tc>
          <w:tcPr>
            <w:tcW w:w="1134" w:type="dxa"/>
            <w:shd w:val="clear" w:color="auto" w:fill="auto"/>
            <w:noWrap/>
            <w:vAlign w:val="bottom"/>
          </w:tcPr>
          <w:p w14:paraId="195FA6F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61F3BA3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4679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58" w:type="dxa"/>
            <w:shd w:val="clear" w:color="auto" w:fill="auto"/>
            <w:vAlign w:val="center"/>
          </w:tcPr>
          <w:p w14:paraId="5F07B67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1.11</w:t>
            </w:r>
          </w:p>
        </w:tc>
        <w:tc>
          <w:tcPr>
            <w:tcW w:w="5525" w:type="dxa"/>
            <w:shd w:val="clear" w:color="auto" w:fill="auto"/>
            <w:vAlign w:val="center"/>
          </w:tcPr>
          <w:p w14:paraId="7AB645A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医疗机构临床实验室具有经国家卫生健康部门认定的室间质量评价机构组织的临床检验室间质量评价。</w:t>
            </w:r>
          </w:p>
        </w:tc>
        <w:tc>
          <w:tcPr>
            <w:tcW w:w="1134" w:type="dxa"/>
            <w:shd w:val="clear" w:color="auto" w:fill="auto"/>
            <w:noWrap/>
            <w:vAlign w:val="bottom"/>
          </w:tcPr>
          <w:p w14:paraId="3E1935D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7204051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3FEA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8" w:type="dxa"/>
            <w:shd w:val="clear" w:color="auto" w:fill="DBE3F4" w:themeFill="accent1" w:themeFillTint="32"/>
            <w:vAlign w:val="center"/>
          </w:tcPr>
          <w:p w14:paraId="47F5EED5">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2</w:t>
            </w:r>
          </w:p>
        </w:tc>
        <w:tc>
          <w:tcPr>
            <w:tcW w:w="5525" w:type="dxa"/>
            <w:shd w:val="clear" w:color="auto" w:fill="DBE3F4" w:themeFill="accent1" w:themeFillTint="32"/>
            <w:vAlign w:val="center"/>
          </w:tcPr>
          <w:p w14:paraId="5DFC0E3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伦理审查</w:t>
            </w:r>
          </w:p>
        </w:tc>
        <w:tc>
          <w:tcPr>
            <w:tcW w:w="1134" w:type="dxa"/>
            <w:shd w:val="clear" w:color="auto" w:fill="DBE3F4" w:themeFill="accent1" w:themeFillTint="32"/>
            <w:noWrap/>
            <w:vAlign w:val="bottom"/>
          </w:tcPr>
          <w:p w14:paraId="2D6FF36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shd w:val="clear" w:color="auto" w:fill="DBE3F4" w:themeFill="accent1" w:themeFillTint="32"/>
            <w:noWrap/>
            <w:vAlign w:val="bottom"/>
          </w:tcPr>
          <w:p w14:paraId="57D5A7C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129B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958" w:type="dxa"/>
            <w:shd w:val="clear" w:color="auto" w:fill="auto"/>
            <w:vAlign w:val="center"/>
          </w:tcPr>
          <w:p w14:paraId="011E895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2.1</w:t>
            </w:r>
          </w:p>
        </w:tc>
        <w:tc>
          <w:tcPr>
            <w:tcW w:w="5525" w:type="dxa"/>
            <w:shd w:val="clear" w:color="auto" w:fill="auto"/>
            <w:vAlign w:val="center"/>
          </w:tcPr>
          <w:p w14:paraId="437DB42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试验方案、知情同意书、招募广告及其修订版等获得伦理委员会批准，文件资料应当注明版本号及版本日期。</w:t>
            </w:r>
          </w:p>
        </w:tc>
        <w:tc>
          <w:tcPr>
            <w:tcW w:w="1134" w:type="dxa"/>
            <w:shd w:val="clear" w:color="auto" w:fill="auto"/>
            <w:noWrap/>
            <w:vAlign w:val="bottom"/>
          </w:tcPr>
          <w:p w14:paraId="4FBC9BD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shd w:val="clear" w:color="auto" w:fill="auto"/>
            <w:noWrap/>
            <w:vAlign w:val="bottom"/>
          </w:tcPr>
          <w:p w14:paraId="558827D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bl>
    <w:p w14:paraId="7E8ACFF3">
      <w:pPr>
        <w:sectPr>
          <w:headerReference r:id="rId3" w:type="default"/>
          <w:footerReference r:id="rId4" w:type="default"/>
          <w:pgSz w:w="11907" w:h="16840"/>
          <w:pgMar w:top="1418" w:right="1418" w:bottom="1418" w:left="1418" w:header="851" w:footer="851" w:gutter="454"/>
          <w:pgNumType w:start="2"/>
          <w:cols w:space="425" w:num="1"/>
          <w:docGrid w:linePitch="312" w:charSpace="0"/>
        </w:sectPr>
      </w:pPr>
    </w:p>
    <w:tbl>
      <w:tblPr>
        <w:tblStyle w:val="5"/>
        <w:tblW w:w="88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8"/>
        <w:gridCol w:w="5525"/>
        <w:gridCol w:w="1134"/>
        <w:gridCol w:w="1275"/>
      </w:tblGrid>
      <w:tr w14:paraId="54D0B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8" w:type="dxa"/>
            <w:tcBorders>
              <w:top w:val="single" w:color="auto" w:sz="4" w:space="0"/>
              <w:left w:val="single" w:color="auto" w:sz="4" w:space="0"/>
              <w:bottom w:val="single" w:color="auto" w:sz="8" w:space="0"/>
              <w:right w:val="single" w:color="auto" w:sz="4" w:space="0"/>
            </w:tcBorders>
            <w:shd w:val="clear" w:color="auto" w:fill="auto"/>
            <w:noWrap/>
            <w:vAlign w:val="center"/>
          </w:tcPr>
          <w:p w14:paraId="498D0CB4">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2.2</w:t>
            </w:r>
          </w:p>
        </w:tc>
        <w:tc>
          <w:tcPr>
            <w:tcW w:w="5525" w:type="dxa"/>
            <w:tcBorders>
              <w:top w:val="single" w:color="auto" w:sz="4" w:space="0"/>
              <w:left w:val="single" w:color="auto" w:sz="4" w:space="0"/>
              <w:bottom w:val="single" w:color="auto" w:sz="8" w:space="0"/>
              <w:right w:val="nil"/>
            </w:tcBorders>
            <w:shd w:val="clear" w:color="auto" w:fill="auto"/>
            <w:vAlign w:val="center"/>
          </w:tcPr>
          <w:p w14:paraId="48740FA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方案违背、年度报告等情况及时向伦理委员会报告</w:t>
            </w:r>
          </w:p>
        </w:tc>
        <w:tc>
          <w:tcPr>
            <w:tcW w:w="1134" w:type="dxa"/>
            <w:tcBorders>
              <w:top w:val="nil"/>
              <w:left w:val="single" w:color="auto" w:sz="4" w:space="0"/>
              <w:bottom w:val="single" w:color="auto" w:sz="4" w:space="0"/>
              <w:right w:val="single" w:color="auto" w:sz="4" w:space="0"/>
            </w:tcBorders>
            <w:shd w:val="clear" w:color="auto" w:fill="auto"/>
            <w:noWrap/>
            <w:vAlign w:val="bottom"/>
          </w:tcPr>
          <w:p w14:paraId="49DDF07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462A142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1F4EB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8" w:type="dxa"/>
            <w:tcBorders>
              <w:top w:val="single" w:color="auto" w:sz="8" w:space="0"/>
              <w:left w:val="single" w:color="auto" w:sz="8" w:space="0"/>
              <w:bottom w:val="single" w:color="auto" w:sz="8" w:space="0"/>
              <w:right w:val="nil"/>
            </w:tcBorders>
            <w:shd w:val="clear" w:color="auto" w:fill="DBE3F4" w:themeFill="accent1" w:themeFillTint="32"/>
            <w:noWrap/>
            <w:vAlign w:val="center"/>
          </w:tcPr>
          <w:p w14:paraId="19AAA79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szCs w:val="22"/>
                <w:lang w:val="en-US" w:bidi="ar"/>
              </w:rPr>
            </w:pPr>
            <w:r>
              <w:rPr>
                <w:rFonts w:hint="default" w:ascii="Times New Roman" w:hAnsi="Times New Roman" w:eastAsia="宋体" w:cs="Times New Roman"/>
                <w:b/>
                <w:bCs/>
                <w:kern w:val="2"/>
                <w:sz w:val="21"/>
                <w:szCs w:val="22"/>
                <w:lang w:val="en-US" w:eastAsia="zh-CN" w:bidi="ar"/>
              </w:rPr>
              <w:t>3</w:t>
            </w:r>
          </w:p>
        </w:tc>
        <w:tc>
          <w:tcPr>
            <w:tcW w:w="5525" w:type="dxa"/>
            <w:tcBorders>
              <w:top w:val="single" w:color="auto" w:sz="8" w:space="0"/>
              <w:left w:val="single" w:color="auto" w:sz="8" w:space="0"/>
              <w:bottom w:val="single" w:color="auto" w:sz="8" w:space="0"/>
              <w:right w:val="nil"/>
            </w:tcBorders>
            <w:shd w:val="clear" w:color="auto" w:fill="DBE3F4" w:themeFill="accent1" w:themeFillTint="32"/>
            <w:vAlign w:val="center"/>
          </w:tcPr>
          <w:p w14:paraId="03DE101E">
            <w:pPr>
              <w:keepNext w:val="0"/>
              <w:keepLines w:val="0"/>
              <w:widowControl w:val="0"/>
              <w:suppressLineNumbers w:val="0"/>
              <w:spacing w:before="0" w:beforeAutospacing="0" w:after="0" w:afterAutospacing="0" w:line="400" w:lineRule="exact"/>
              <w:ind w:left="0" w:right="0"/>
              <w:jc w:val="left"/>
              <w:rPr>
                <w:rFonts w:hint="default" w:ascii="Times New Roman" w:hAnsi="Times New Roman" w:eastAsia="宋体" w:cs="Times New Roman"/>
                <w:b/>
                <w:bCs/>
                <w:szCs w:val="22"/>
                <w:lang w:val="en-US" w:bidi="ar"/>
              </w:rPr>
            </w:pPr>
            <w:r>
              <w:rPr>
                <w:rFonts w:hint="default" w:ascii="Times New Roman" w:hAnsi="Times New Roman" w:eastAsia="宋体" w:cs="Times New Roman"/>
                <w:b/>
                <w:bCs/>
                <w:kern w:val="2"/>
                <w:sz w:val="21"/>
                <w:szCs w:val="22"/>
                <w:lang w:val="en-US" w:eastAsia="zh-CN" w:bidi="ar"/>
              </w:rPr>
              <w:t>临床试验实施过程</w:t>
            </w:r>
          </w:p>
        </w:tc>
        <w:tc>
          <w:tcPr>
            <w:tcW w:w="1134" w:type="dxa"/>
            <w:tcBorders>
              <w:top w:val="nil"/>
              <w:left w:val="single" w:color="auto" w:sz="4" w:space="0"/>
              <w:bottom w:val="single" w:color="auto" w:sz="4" w:space="0"/>
              <w:right w:val="single" w:color="auto" w:sz="4" w:space="0"/>
            </w:tcBorders>
            <w:shd w:val="clear" w:color="auto" w:fill="DBE3F4" w:themeFill="accent1" w:themeFillTint="32"/>
            <w:noWrap/>
            <w:vAlign w:val="bottom"/>
          </w:tcPr>
          <w:p w14:paraId="1C3E928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szCs w:val="22"/>
                <w:lang w:val="en-US" w:bidi="ar"/>
              </w:rPr>
            </w:pPr>
            <w:r>
              <w:rPr>
                <w:rFonts w:hint="default" w:ascii="Times New Roman" w:hAnsi="Times New Roman" w:eastAsia="宋体" w:cs="Times New Roman"/>
                <w:b/>
                <w:bCs/>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DBE3F4" w:themeFill="accent1" w:themeFillTint="32"/>
            <w:noWrap/>
            <w:vAlign w:val="bottom"/>
          </w:tcPr>
          <w:p w14:paraId="37C08AA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szCs w:val="22"/>
                <w:lang w:val="en-US" w:bidi="ar"/>
              </w:rPr>
            </w:pPr>
            <w:r>
              <w:rPr>
                <w:rFonts w:hint="default" w:ascii="Times New Roman" w:hAnsi="Times New Roman" w:eastAsia="宋体" w:cs="Times New Roman"/>
                <w:b/>
                <w:bCs/>
                <w:kern w:val="2"/>
                <w:sz w:val="21"/>
                <w:szCs w:val="22"/>
                <w:lang w:val="en-US" w:eastAsia="zh-CN" w:bidi="ar"/>
              </w:rPr>
              <w:t>　</w:t>
            </w:r>
          </w:p>
        </w:tc>
      </w:tr>
      <w:tr w14:paraId="724EE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7AEBDD1E">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3.1</w:t>
            </w:r>
          </w:p>
        </w:tc>
        <w:tc>
          <w:tcPr>
            <w:tcW w:w="5525" w:type="dxa"/>
            <w:tcBorders>
              <w:top w:val="nil"/>
              <w:left w:val="nil"/>
              <w:bottom w:val="single" w:color="auto" w:sz="4" w:space="0"/>
              <w:right w:val="nil"/>
            </w:tcBorders>
            <w:shd w:val="clear" w:color="auto" w:fill="auto"/>
            <w:vAlign w:val="center"/>
          </w:tcPr>
          <w:p w14:paraId="0E721A4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知情同意书的签署</w:t>
            </w:r>
          </w:p>
        </w:tc>
        <w:tc>
          <w:tcPr>
            <w:tcW w:w="1134" w:type="dxa"/>
            <w:tcBorders>
              <w:top w:val="nil"/>
              <w:left w:val="single" w:color="auto" w:sz="4" w:space="0"/>
              <w:bottom w:val="single" w:color="auto" w:sz="4" w:space="0"/>
              <w:right w:val="single" w:color="auto" w:sz="4" w:space="0"/>
            </w:tcBorders>
            <w:shd w:val="clear" w:color="auto" w:fill="auto"/>
            <w:noWrap/>
            <w:vAlign w:val="bottom"/>
          </w:tcPr>
          <w:p w14:paraId="1300199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13DBBE2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3AE39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04E3A3A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4F91201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研究者应当使用最新版的知情同意书。如有必要，药物临床试验过程中的受试者应当再次签署知情同意书。</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27F614B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71EF2D7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1E9C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6FC5EF6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3.1.2</w:t>
            </w:r>
          </w:p>
        </w:tc>
        <w:tc>
          <w:tcPr>
            <w:tcW w:w="5525" w:type="dxa"/>
            <w:tcBorders>
              <w:top w:val="nil"/>
              <w:left w:val="single" w:color="auto" w:sz="4" w:space="0"/>
              <w:bottom w:val="single" w:color="auto" w:sz="4" w:space="0"/>
              <w:right w:val="single" w:color="auto" w:sz="4" w:space="0"/>
            </w:tcBorders>
            <w:shd w:val="clear" w:color="auto" w:fill="auto"/>
            <w:vAlign w:val="center"/>
          </w:tcPr>
          <w:p w14:paraId="48BCC92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受试者签署的知情同意书应当内容完整、规范，符合GCP要求；知情同意过程应当记录完整。</w:t>
            </w:r>
          </w:p>
        </w:tc>
        <w:tc>
          <w:tcPr>
            <w:tcW w:w="1134" w:type="dxa"/>
            <w:tcBorders>
              <w:top w:val="nil"/>
              <w:left w:val="nil"/>
              <w:bottom w:val="single" w:color="auto" w:sz="4" w:space="0"/>
              <w:right w:val="single" w:color="auto" w:sz="4" w:space="0"/>
            </w:tcBorders>
            <w:shd w:val="clear" w:color="auto" w:fill="auto"/>
            <w:noWrap/>
            <w:vAlign w:val="bottom"/>
          </w:tcPr>
          <w:p w14:paraId="76B129D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0854325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0EA3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3A42CC8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3.1.3</w:t>
            </w:r>
          </w:p>
        </w:tc>
        <w:tc>
          <w:tcPr>
            <w:tcW w:w="5525" w:type="dxa"/>
            <w:tcBorders>
              <w:top w:val="nil"/>
              <w:left w:val="single" w:color="auto" w:sz="4" w:space="0"/>
              <w:bottom w:val="single" w:color="auto" w:sz="4" w:space="0"/>
              <w:right w:val="single" w:color="auto" w:sz="4" w:space="0"/>
            </w:tcBorders>
            <w:shd w:val="clear" w:color="auto" w:fill="auto"/>
            <w:vAlign w:val="center"/>
          </w:tcPr>
          <w:p w14:paraId="678A2BA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知情同意书的版本、签署者的签字（或手印）、签署时间等应符合GCP要求。</w:t>
            </w:r>
          </w:p>
        </w:tc>
        <w:tc>
          <w:tcPr>
            <w:tcW w:w="1134" w:type="dxa"/>
            <w:tcBorders>
              <w:top w:val="nil"/>
              <w:left w:val="nil"/>
              <w:bottom w:val="single" w:color="auto" w:sz="4" w:space="0"/>
              <w:right w:val="single" w:color="auto" w:sz="4" w:space="0"/>
            </w:tcBorders>
            <w:shd w:val="clear" w:color="auto" w:fill="auto"/>
            <w:noWrap/>
            <w:vAlign w:val="bottom"/>
          </w:tcPr>
          <w:p w14:paraId="7CF1743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6B7D732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0FB5A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55FEB2D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3.1.4</w:t>
            </w:r>
          </w:p>
        </w:tc>
        <w:tc>
          <w:tcPr>
            <w:tcW w:w="5525" w:type="dxa"/>
            <w:tcBorders>
              <w:top w:val="nil"/>
              <w:left w:val="single" w:color="auto" w:sz="4" w:space="0"/>
              <w:bottom w:val="single" w:color="auto" w:sz="4" w:space="0"/>
              <w:right w:val="single" w:color="auto" w:sz="4" w:space="0"/>
            </w:tcBorders>
            <w:shd w:val="clear" w:color="auto" w:fill="auto"/>
            <w:vAlign w:val="center"/>
          </w:tcPr>
          <w:p w14:paraId="5EB22B5C">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向受试者或其法定代理人解释试验内容并获得知情同意的研究者应为经过授权的研究人员，具备在本院的执业资质。</w:t>
            </w:r>
          </w:p>
        </w:tc>
        <w:tc>
          <w:tcPr>
            <w:tcW w:w="1134" w:type="dxa"/>
            <w:tcBorders>
              <w:top w:val="nil"/>
              <w:left w:val="nil"/>
              <w:bottom w:val="single" w:color="auto" w:sz="4" w:space="0"/>
              <w:right w:val="single" w:color="auto" w:sz="4" w:space="0"/>
            </w:tcBorders>
            <w:shd w:val="clear" w:color="auto" w:fill="auto"/>
            <w:noWrap/>
            <w:vAlign w:val="bottom"/>
          </w:tcPr>
          <w:p w14:paraId="3162E6D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3C8E480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294EE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4A26BC9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3.1.5</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5632C75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已签署的知情同意书数量与原始资料、病例报告表中的筛选、入选的病例数相符。</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353798C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581AE40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241DD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28D4F8F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3.1.6</w:t>
            </w:r>
          </w:p>
        </w:tc>
        <w:tc>
          <w:tcPr>
            <w:tcW w:w="5525" w:type="dxa"/>
            <w:tcBorders>
              <w:top w:val="nil"/>
              <w:left w:val="single" w:color="auto" w:sz="4" w:space="0"/>
              <w:bottom w:val="single" w:color="auto" w:sz="4" w:space="0"/>
              <w:right w:val="single" w:color="auto" w:sz="4" w:space="0"/>
            </w:tcBorders>
            <w:shd w:val="clear" w:color="auto" w:fill="auto"/>
            <w:vAlign w:val="center"/>
          </w:tcPr>
          <w:p w14:paraId="29E7569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知情同意书签署时间不早于伦理批准时间，筛选时间不得早于知情同意书签署时间。</w:t>
            </w:r>
          </w:p>
        </w:tc>
        <w:tc>
          <w:tcPr>
            <w:tcW w:w="1134" w:type="dxa"/>
            <w:tcBorders>
              <w:top w:val="nil"/>
              <w:left w:val="nil"/>
              <w:bottom w:val="single" w:color="auto" w:sz="4" w:space="0"/>
              <w:right w:val="single" w:color="auto" w:sz="4" w:space="0"/>
            </w:tcBorders>
            <w:shd w:val="clear" w:color="auto" w:fill="auto"/>
            <w:noWrap/>
            <w:vAlign w:val="bottom"/>
          </w:tcPr>
          <w:p w14:paraId="77DB8FF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7E0FD81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06AF2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8" w:type="dxa"/>
            <w:tcBorders>
              <w:top w:val="single" w:color="auto" w:sz="8" w:space="0"/>
              <w:left w:val="single" w:color="auto" w:sz="4" w:space="0"/>
              <w:bottom w:val="single" w:color="auto" w:sz="8" w:space="0"/>
              <w:right w:val="nil"/>
            </w:tcBorders>
            <w:shd w:val="clear" w:color="auto" w:fill="auto"/>
            <w:vAlign w:val="center"/>
          </w:tcPr>
          <w:p w14:paraId="2998E6D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w:t>
            </w:r>
          </w:p>
        </w:tc>
        <w:tc>
          <w:tcPr>
            <w:tcW w:w="5525" w:type="dxa"/>
            <w:tcBorders>
              <w:top w:val="single" w:color="auto" w:sz="8" w:space="0"/>
              <w:left w:val="single" w:color="auto" w:sz="4" w:space="0"/>
              <w:bottom w:val="single" w:color="auto" w:sz="8" w:space="0"/>
              <w:right w:val="nil"/>
            </w:tcBorders>
            <w:shd w:val="clear" w:color="auto" w:fill="auto"/>
            <w:vAlign w:val="center"/>
          </w:tcPr>
          <w:p w14:paraId="1F72114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受试者筛选入组及方案执行</w:t>
            </w:r>
          </w:p>
        </w:tc>
        <w:tc>
          <w:tcPr>
            <w:tcW w:w="1134" w:type="dxa"/>
            <w:tcBorders>
              <w:top w:val="nil"/>
              <w:left w:val="single" w:color="auto" w:sz="4" w:space="0"/>
              <w:bottom w:val="single" w:color="auto" w:sz="4" w:space="0"/>
              <w:right w:val="single" w:color="auto" w:sz="4" w:space="0"/>
            </w:tcBorders>
            <w:shd w:val="clear" w:color="auto" w:fill="auto"/>
            <w:noWrap/>
            <w:vAlign w:val="bottom"/>
          </w:tcPr>
          <w:p w14:paraId="3AAA0B7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28B9F58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0C8D7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8" w:type="dxa"/>
            <w:tcBorders>
              <w:top w:val="single" w:color="auto" w:sz="4" w:space="0"/>
              <w:left w:val="single" w:color="auto" w:sz="8" w:space="0"/>
              <w:bottom w:val="single" w:color="auto" w:sz="4" w:space="0"/>
              <w:right w:val="single" w:color="auto" w:sz="4" w:space="0"/>
            </w:tcBorders>
            <w:shd w:val="clear" w:color="auto" w:fill="auto"/>
            <w:vAlign w:val="center"/>
          </w:tcPr>
          <w:p w14:paraId="5225C0A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3BB7EAF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受试者在方案规定的时间内不得重复参加临床试验</w:t>
            </w:r>
          </w:p>
        </w:tc>
        <w:tc>
          <w:tcPr>
            <w:tcW w:w="1134" w:type="dxa"/>
            <w:tcBorders>
              <w:top w:val="nil"/>
              <w:left w:val="nil"/>
              <w:bottom w:val="single" w:color="auto" w:sz="4" w:space="0"/>
              <w:right w:val="single" w:color="auto" w:sz="4" w:space="0"/>
            </w:tcBorders>
            <w:shd w:val="clear" w:color="auto" w:fill="auto"/>
            <w:noWrap/>
            <w:vAlign w:val="bottom"/>
          </w:tcPr>
          <w:p w14:paraId="01B88F9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257D01D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2EF98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041DEFC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2FC5510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受试者筛选，入选、随机、设盲等应符合药物临床试验方案规定的入选/排除标准的要求并留存有足够的支持性证据。</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25C07F6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5CCAE51C">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2EB3A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3C77DF3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3.2.3</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266574E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受试者鉴认代码表或筛选、体检等原始资料应当涵盖受试者身份鉴别的基本信息。</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310B078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3F9EC5D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01BB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7DBAF78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3.2.4</w:t>
            </w:r>
          </w:p>
        </w:tc>
        <w:tc>
          <w:tcPr>
            <w:tcW w:w="5525" w:type="dxa"/>
            <w:tcBorders>
              <w:top w:val="nil"/>
              <w:left w:val="single" w:color="auto" w:sz="4" w:space="0"/>
              <w:bottom w:val="single" w:color="auto" w:sz="4" w:space="0"/>
              <w:right w:val="single" w:color="auto" w:sz="4" w:space="0"/>
            </w:tcBorders>
            <w:shd w:val="clear" w:color="auto" w:fill="auto"/>
            <w:vAlign w:val="center"/>
          </w:tcPr>
          <w:p w14:paraId="60724C4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病例报告表中受试者编号、给药周期、给药顺序、制剂种类等信息应当与原始资料一致。</w:t>
            </w:r>
          </w:p>
        </w:tc>
        <w:tc>
          <w:tcPr>
            <w:tcW w:w="1134" w:type="dxa"/>
            <w:tcBorders>
              <w:top w:val="nil"/>
              <w:left w:val="nil"/>
              <w:bottom w:val="single" w:color="auto" w:sz="4" w:space="0"/>
              <w:right w:val="single" w:color="auto" w:sz="4" w:space="0"/>
            </w:tcBorders>
            <w:shd w:val="clear" w:color="auto" w:fill="auto"/>
            <w:noWrap/>
            <w:vAlign w:val="bottom"/>
          </w:tcPr>
          <w:p w14:paraId="6E746774">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453F36D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43E1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0248B37E">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3.2.5</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303F009C">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病例报告表中筛选、入选、脱落、退出和完成药物临床试验的例数应当与分中心小结表、总结报告等一致。</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263FF30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5D44E2F4">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bl>
    <w:p w14:paraId="31305F15">
      <w:pPr>
        <w:sectPr>
          <w:footerReference r:id="rId5" w:type="default"/>
          <w:pgSz w:w="11907" w:h="16840"/>
          <w:pgMar w:top="1418" w:right="1418" w:bottom="1418" w:left="1418" w:header="851" w:footer="851" w:gutter="454"/>
          <w:pgNumType w:start="2"/>
          <w:cols w:space="425" w:num="1"/>
          <w:docGrid w:linePitch="312" w:charSpace="0"/>
        </w:sectPr>
      </w:pPr>
    </w:p>
    <w:tbl>
      <w:tblPr>
        <w:tblStyle w:val="5"/>
        <w:tblW w:w="88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8"/>
        <w:gridCol w:w="5525"/>
        <w:gridCol w:w="1134"/>
        <w:gridCol w:w="1275"/>
      </w:tblGrid>
      <w:tr w14:paraId="19E17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517379C1">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3.2.6</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454BEF4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受试者的退出和剔除应当按照药物临床试验方案的要求执行，记录实际情况并保存原始记录，应当与病例报告表一致。</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5980918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4787178C">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6250D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4E3B2D45">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3.2.7</w:t>
            </w:r>
          </w:p>
        </w:tc>
        <w:tc>
          <w:tcPr>
            <w:tcW w:w="5525" w:type="dxa"/>
            <w:tcBorders>
              <w:top w:val="nil"/>
              <w:left w:val="single" w:color="auto" w:sz="4" w:space="0"/>
              <w:bottom w:val="single" w:color="auto" w:sz="4" w:space="0"/>
              <w:right w:val="single" w:color="auto" w:sz="4" w:space="0"/>
            </w:tcBorders>
            <w:shd w:val="clear" w:color="auto" w:fill="auto"/>
            <w:vAlign w:val="center"/>
          </w:tcPr>
          <w:p w14:paraId="0952E15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研究者应当遵守药物临床试验方案规定的随机化程序给予受试者试验用药物。</w:t>
            </w:r>
          </w:p>
        </w:tc>
        <w:tc>
          <w:tcPr>
            <w:tcW w:w="1134" w:type="dxa"/>
            <w:tcBorders>
              <w:top w:val="nil"/>
              <w:left w:val="nil"/>
              <w:bottom w:val="single" w:color="auto" w:sz="4" w:space="0"/>
              <w:right w:val="single" w:color="auto" w:sz="4" w:space="0"/>
            </w:tcBorders>
            <w:shd w:val="clear" w:color="auto" w:fill="auto"/>
            <w:noWrap/>
            <w:vAlign w:val="bottom"/>
          </w:tcPr>
          <w:p w14:paraId="74C5542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35D14D0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660F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63F2E2A4">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3.2.8</w:t>
            </w:r>
          </w:p>
        </w:tc>
        <w:tc>
          <w:tcPr>
            <w:tcW w:w="5525" w:type="dxa"/>
            <w:tcBorders>
              <w:top w:val="nil"/>
              <w:left w:val="single" w:color="auto" w:sz="4" w:space="0"/>
              <w:bottom w:val="single" w:color="auto" w:sz="4" w:space="0"/>
              <w:right w:val="single" w:color="auto" w:sz="4" w:space="0"/>
            </w:tcBorders>
            <w:shd w:val="clear" w:color="auto" w:fill="auto"/>
            <w:vAlign w:val="center"/>
          </w:tcPr>
          <w:p w14:paraId="018BD8F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研究者应按照药物临床试验方案规定的试验流程和评估方法实施试验（包括访视时间点、随访检查和评估等）。</w:t>
            </w:r>
          </w:p>
        </w:tc>
        <w:tc>
          <w:tcPr>
            <w:tcW w:w="1134" w:type="dxa"/>
            <w:tcBorders>
              <w:top w:val="nil"/>
              <w:left w:val="nil"/>
              <w:bottom w:val="single" w:color="auto" w:sz="4" w:space="0"/>
              <w:right w:val="single" w:color="auto" w:sz="4" w:space="0"/>
            </w:tcBorders>
            <w:shd w:val="clear" w:color="auto" w:fill="auto"/>
            <w:noWrap/>
            <w:vAlign w:val="bottom"/>
          </w:tcPr>
          <w:p w14:paraId="0B54B9C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0D82645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485F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174A657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3.2.9</w:t>
            </w:r>
          </w:p>
        </w:tc>
        <w:tc>
          <w:tcPr>
            <w:tcW w:w="5525" w:type="dxa"/>
            <w:tcBorders>
              <w:top w:val="nil"/>
              <w:left w:val="single" w:color="auto" w:sz="4" w:space="0"/>
              <w:bottom w:val="single" w:color="auto" w:sz="4" w:space="0"/>
              <w:right w:val="single" w:color="auto" w:sz="4" w:space="0"/>
            </w:tcBorders>
            <w:shd w:val="clear" w:color="auto" w:fill="auto"/>
            <w:vAlign w:val="center"/>
          </w:tcPr>
          <w:p w14:paraId="23029D8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研究者应按照药物临床试验方案规定的给药方案（包括剂量、间期、疗程、给药方式和配制方法等）给予受试者试验药物。</w:t>
            </w:r>
          </w:p>
        </w:tc>
        <w:tc>
          <w:tcPr>
            <w:tcW w:w="1134" w:type="dxa"/>
            <w:tcBorders>
              <w:top w:val="nil"/>
              <w:left w:val="nil"/>
              <w:bottom w:val="single" w:color="auto" w:sz="4" w:space="0"/>
              <w:right w:val="single" w:color="auto" w:sz="4" w:space="0"/>
            </w:tcBorders>
            <w:shd w:val="clear" w:color="auto" w:fill="auto"/>
            <w:noWrap/>
            <w:vAlign w:val="bottom"/>
          </w:tcPr>
          <w:p w14:paraId="2170353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33564754">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7B767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0E7B3E5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3.2.10</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729A2A4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盲法试验（如涉及）应当按照试验方案的要求设盲、保持盲态和实施揭盲;意外破盲或因严重不良事件（SAE）需紧急揭盲应书面说明原因。</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45369E7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645279F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72AF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28845B8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13CA727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生物样本采集、处理、保存、转运等过程应符合试验方案要求。</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70AF68C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0FC0F3D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07ABE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58" w:type="dxa"/>
            <w:tcBorders>
              <w:top w:val="single" w:color="auto" w:sz="4" w:space="0"/>
              <w:left w:val="single" w:color="auto" w:sz="4" w:space="0"/>
              <w:bottom w:val="single" w:color="auto" w:sz="4" w:space="0"/>
              <w:right w:val="nil"/>
            </w:tcBorders>
            <w:shd w:val="clear" w:color="auto" w:fill="auto"/>
            <w:vAlign w:val="center"/>
          </w:tcPr>
          <w:p w14:paraId="0B4A7DED">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w:t>
            </w:r>
          </w:p>
        </w:tc>
        <w:tc>
          <w:tcPr>
            <w:tcW w:w="5525" w:type="dxa"/>
            <w:tcBorders>
              <w:top w:val="single" w:color="auto" w:sz="4" w:space="0"/>
              <w:left w:val="single" w:color="auto" w:sz="4" w:space="0"/>
              <w:bottom w:val="single" w:color="auto" w:sz="4" w:space="0"/>
              <w:right w:val="nil"/>
            </w:tcBorders>
            <w:shd w:val="clear" w:color="auto" w:fill="auto"/>
            <w:vAlign w:val="center"/>
          </w:tcPr>
          <w:p w14:paraId="544CB874">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药物临床试验过程数据记录与报告</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926FA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4E08E5E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27290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521D8CD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5FDDD27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药物临床试验相关原始记录的管理应符合医疗和试验要求，有原始医疗文件做支撑。包含试验关键信息的纸质记录的发放和回收应当受控管理</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5D72B78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5D98FA4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38A6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16D3017D">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3.3.2</w:t>
            </w:r>
          </w:p>
        </w:tc>
        <w:tc>
          <w:tcPr>
            <w:tcW w:w="5525" w:type="dxa"/>
            <w:tcBorders>
              <w:top w:val="nil"/>
              <w:left w:val="single" w:color="auto" w:sz="4" w:space="0"/>
              <w:bottom w:val="single" w:color="auto" w:sz="4" w:space="0"/>
              <w:right w:val="single" w:color="auto" w:sz="4" w:space="0"/>
            </w:tcBorders>
            <w:shd w:val="clear" w:color="auto" w:fill="auto"/>
            <w:vAlign w:val="center"/>
          </w:tcPr>
          <w:p w14:paraId="5A83452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包含试验关键信息的纸质记录的发放和回收应当受控管理，所有纸质记录应有版本号、日期以及页码</w:t>
            </w:r>
          </w:p>
        </w:tc>
        <w:tc>
          <w:tcPr>
            <w:tcW w:w="1134" w:type="dxa"/>
            <w:tcBorders>
              <w:top w:val="nil"/>
              <w:left w:val="nil"/>
              <w:bottom w:val="single" w:color="auto" w:sz="4" w:space="0"/>
              <w:right w:val="single" w:color="auto" w:sz="4" w:space="0"/>
            </w:tcBorders>
            <w:shd w:val="clear" w:color="auto" w:fill="auto"/>
            <w:noWrap/>
            <w:vAlign w:val="bottom"/>
          </w:tcPr>
          <w:p w14:paraId="3668773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0B3A2F5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19C9D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7029964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3.3.3</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594051C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源数据和病例报告表中的数据修改应当留痕，不能掩盖初始数据，保留修改轨迹，涉及到筛选入选、BE及PK评价、疗效及安全性评分等修改则必须解释理由，由修改者签名并注明日期。</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04B1999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10031B6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69240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68E2910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3.3.4</w:t>
            </w:r>
          </w:p>
        </w:tc>
        <w:tc>
          <w:tcPr>
            <w:tcW w:w="5525" w:type="dxa"/>
            <w:tcBorders>
              <w:top w:val="nil"/>
              <w:left w:val="single" w:color="auto" w:sz="4" w:space="0"/>
              <w:bottom w:val="single" w:color="auto" w:sz="4" w:space="0"/>
              <w:right w:val="single" w:color="auto" w:sz="4" w:space="0"/>
            </w:tcBorders>
            <w:shd w:val="clear" w:color="auto" w:fill="auto"/>
            <w:vAlign w:val="center"/>
          </w:tcPr>
          <w:p w14:paraId="3DB982D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以患者为受试者的药物临床试验，相关医疗记录应当载入门诊或住院病历系统。病史记录中应当记录受试者知情同意的具体时间和人员。</w:t>
            </w:r>
          </w:p>
        </w:tc>
        <w:tc>
          <w:tcPr>
            <w:tcW w:w="1134" w:type="dxa"/>
            <w:tcBorders>
              <w:top w:val="nil"/>
              <w:left w:val="nil"/>
              <w:bottom w:val="single" w:color="auto" w:sz="4" w:space="0"/>
              <w:right w:val="single" w:color="auto" w:sz="4" w:space="0"/>
            </w:tcBorders>
            <w:shd w:val="clear" w:color="auto" w:fill="auto"/>
            <w:noWrap/>
            <w:vAlign w:val="bottom"/>
          </w:tcPr>
          <w:p w14:paraId="0B6F46E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410BF9D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bl>
    <w:p w14:paraId="02529269">
      <w:pPr>
        <w:sectPr>
          <w:footerReference r:id="rId6" w:type="default"/>
          <w:pgSz w:w="11907" w:h="16840"/>
          <w:pgMar w:top="1418" w:right="1418" w:bottom="1418" w:left="1418" w:header="851" w:footer="851" w:gutter="454"/>
          <w:pgNumType w:start="2"/>
          <w:cols w:space="425" w:num="1"/>
          <w:docGrid w:linePitch="312" w:charSpace="0"/>
        </w:sectPr>
      </w:pPr>
    </w:p>
    <w:tbl>
      <w:tblPr>
        <w:tblStyle w:val="5"/>
        <w:tblW w:w="88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8"/>
        <w:gridCol w:w="5525"/>
        <w:gridCol w:w="1134"/>
        <w:gridCol w:w="1275"/>
      </w:tblGrid>
      <w:tr w14:paraId="00BE9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4A25F8E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3.3.5</w:t>
            </w:r>
          </w:p>
        </w:tc>
        <w:tc>
          <w:tcPr>
            <w:tcW w:w="5525" w:type="dxa"/>
            <w:tcBorders>
              <w:top w:val="nil"/>
              <w:left w:val="single" w:color="auto" w:sz="4" w:space="0"/>
              <w:bottom w:val="single" w:color="auto" w:sz="4" w:space="0"/>
              <w:right w:val="single" w:color="auto" w:sz="4" w:space="0"/>
            </w:tcBorders>
            <w:shd w:val="clear" w:color="auto" w:fill="auto"/>
            <w:vAlign w:val="center"/>
          </w:tcPr>
          <w:p w14:paraId="31FEFC0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药物临床试验机构的信息化系统具备建立临床试验电子病历条件时，研究者应当首先选用，相应的计算机化系统应当具有完善的权限管理和稽查轨迹。</w:t>
            </w:r>
          </w:p>
        </w:tc>
        <w:tc>
          <w:tcPr>
            <w:tcW w:w="1134" w:type="dxa"/>
            <w:tcBorders>
              <w:top w:val="nil"/>
              <w:left w:val="nil"/>
              <w:bottom w:val="single" w:color="auto" w:sz="4" w:space="0"/>
              <w:right w:val="single" w:color="auto" w:sz="4" w:space="0"/>
            </w:tcBorders>
            <w:shd w:val="clear" w:color="auto" w:fill="auto"/>
            <w:noWrap/>
            <w:vAlign w:val="bottom"/>
          </w:tcPr>
          <w:p w14:paraId="4706DB4C">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0F004E2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697D8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04A6BF2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3.3.6</w:t>
            </w:r>
          </w:p>
        </w:tc>
        <w:tc>
          <w:tcPr>
            <w:tcW w:w="5525" w:type="dxa"/>
            <w:tcBorders>
              <w:top w:val="nil"/>
              <w:left w:val="single" w:color="auto" w:sz="4" w:space="0"/>
              <w:bottom w:val="single" w:color="auto" w:sz="4" w:space="0"/>
              <w:right w:val="single" w:color="auto" w:sz="4" w:space="0"/>
            </w:tcBorders>
            <w:shd w:val="clear" w:color="auto" w:fill="auto"/>
            <w:vAlign w:val="center"/>
          </w:tcPr>
          <w:p w14:paraId="1D3D3D9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核查原始记录，与病例报告表和总结报告（或数据库）中记录的AE、SAE、SUSAR、合并用药记录进行核对，核实并记录漏记、误判、误记的例数及具体情况。</w:t>
            </w:r>
          </w:p>
        </w:tc>
        <w:tc>
          <w:tcPr>
            <w:tcW w:w="1134" w:type="dxa"/>
            <w:tcBorders>
              <w:top w:val="nil"/>
              <w:left w:val="nil"/>
              <w:bottom w:val="single" w:color="auto" w:sz="4" w:space="0"/>
              <w:right w:val="single" w:color="auto" w:sz="4" w:space="0"/>
            </w:tcBorders>
            <w:shd w:val="clear" w:color="auto" w:fill="auto"/>
            <w:noWrap/>
            <w:vAlign w:val="bottom"/>
          </w:tcPr>
          <w:p w14:paraId="4F638F9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190566C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7BF8A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57F08B37">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3.3.7</w:t>
            </w:r>
          </w:p>
        </w:tc>
        <w:tc>
          <w:tcPr>
            <w:tcW w:w="5525" w:type="dxa"/>
            <w:tcBorders>
              <w:top w:val="nil"/>
              <w:left w:val="single" w:color="auto" w:sz="4" w:space="0"/>
              <w:bottom w:val="nil"/>
              <w:right w:val="single" w:color="auto" w:sz="4" w:space="0"/>
            </w:tcBorders>
            <w:shd w:val="clear" w:color="auto" w:fill="auto"/>
            <w:vAlign w:val="center"/>
          </w:tcPr>
          <w:p w14:paraId="5ECB128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核查病例报告表以及数据库中的检查数据与检验科、影像科、心电图室、内镜室（LIS、PACS等信息系统）等检查数据是否一致。</w:t>
            </w:r>
          </w:p>
        </w:tc>
        <w:tc>
          <w:tcPr>
            <w:tcW w:w="1134" w:type="dxa"/>
            <w:tcBorders>
              <w:top w:val="nil"/>
              <w:left w:val="nil"/>
              <w:bottom w:val="single" w:color="auto" w:sz="4" w:space="0"/>
              <w:right w:val="single" w:color="auto" w:sz="4" w:space="0"/>
            </w:tcBorders>
            <w:shd w:val="clear" w:color="auto" w:fill="auto"/>
            <w:noWrap/>
            <w:vAlign w:val="bottom"/>
          </w:tcPr>
          <w:p w14:paraId="1AFA21C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2FBD01B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47F7E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5E9A96E8">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3.3.8</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72FEF5C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若数据处理过程中发生数据转换，确保转换后的数据与原数据一致和该数据转化过程的可见性。</w:t>
            </w:r>
          </w:p>
        </w:tc>
        <w:tc>
          <w:tcPr>
            <w:tcW w:w="1134" w:type="dxa"/>
            <w:tcBorders>
              <w:top w:val="nil"/>
              <w:left w:val="nil"/>
              <w:bottom w:val="single" w:color="auto" w:sz="4" w:space="0"/>
              <w:right w:val="single" w:color="auto" w:sz="4" w:space="0"/>
            </w:tcBorders>
            <w:shd w:val="clear" w:color="auto" w:fill="auto"/>
            <w:noWrap/>
            <w:vAlign w:val="bottom"/>
          </w:tcPr>
          <w:p w14:paraId="3DFFEB1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0C29DC5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2549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64F653C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w:t>
            </w:r>
            <w:r>
              <w:rPr>
                <w:rFonts w:hint="eastAsia" w:cs="Times New Roman"/>
                <w:kern w:val="2"/>
                <w:sz w:val="21"/>
                <w:szCs w:val="22"/>
                <w:lang w:val="en-US" w:eastAsia="zh-CN" w:bidi="ar"/>
              </w:rPr>
              <w:t>9</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2602B2B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数据库锁定、锁定后的解锁和再锁定应当事先规定并详细说明其条件和流程。核实数据库锁定后是否有修改及修改说明。</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30075F4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311840A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34A1C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70E5C85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3.3.1</w:t>
            </w:r>
            <w:r>
              <w:rPr>
                <w:rFonts w:hint="eastAsia" w:cs="Times New Roman"/>
                <w:kern w:val="2"/>
                <w:sz w:val="21"/>
                <w:szCs w:val="22"/>
                <w:lang w:val="en-US" w:eastAsia="zh-CN" w:bidi="ar"/>
              </w:rPr>
              <w:t>0</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3077969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药物临床试验项目资料文件应当保存完整，并及时归档，档案由专人管理。对归档、查阅、借阅和归还等情况及时记录。</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86669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C6415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18D16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11820F25">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3.3.1</w:t>
            </w:r>
            <w:r>
              <w:rPr>
                <w:rFonts w:hint="eastAsia" w:cs="Times New Roman"/>
                <w:kern w:val="2"/>
                <w:sz w:val="21"/>
                <w:szCs w:val="22"/>
                <w:lang w:val="en-US" w:eastAsia="zh-CN" w:bidi="ar"/>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6DBC84D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给药、生物样本采集、实验室检查、生命体征检查、体格检查、心电图检查、饮食饮水等临床试验操作应按照临床试验方案、SOP等要求执行，采取措施保证关键步骤实施的准确性，并保存相关记录。</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38AABA9C">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0A81859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7BC8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8" w:type="dxa"/>
            <w:tcBorders>
              <w:top w:val="single" w:color="auto" w:sz="4" w:space="0"/>
              <w:left w:val="single" w:color="auto" w:sz="4" w:space="0"/>
              <w:bottom w:val="single" w:color="auto" w:sz="4" w:space="0"/>
              <w:right w:val="nil"/>
            </w:tcBorders>
            <w:shd w:val="clear" w:color="auto" w:fill="DBE3F4" w:themeFill="accent1" w:themeFillTint="32"/>
            <w:vAlign w:val="center"/>
          </w:tcPr>
          <w:p w14:paraId="0F2EA155">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4</w:t>
            </w:r>
          </w:p>
        </w:tc>
        <w:tc>
          <w:tcPr>
            <w:tcW w:w="5525" w:type="dxa"/>
            <w:tcBorders>
              <w:top w:val="single" w:color="auto" w:sz="4" w:space="0"/>
              <w:left w:val="single" w:color="auto" w:sz="4" w:space="0"/>
              <w:bottom w:val="single" w:color="auto" w:sz="4" w:space="0"/>
              <w:right w:val="nil"/>
            </w:tcBorders>
            <w:shd w:val="clear" w:color="auto" w:fill="DBE3F4" w:themeFill="accent1" w:themeFillTint="32"/>
            <w:vAlign w:val="center"/>
          </w:tcPr>
          <w:p w14:paraId="2DEB4F0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安全性指标的处置、记录与报告</w:t>
            </w:r>
          </w:p>
        </w:tc>
        <w:tc>
          <w:tcPr>
            <w:tcW w:w="1134" w:type="dxa"/>
            <w:tcBorders>
              <w:top w:val="single" w:color="auto" w:sz="4" w:space="0"/>
              <w:left w:val="single" w:color="auto" w:sz="4" w:space="0"/>
              <w:bottom w:val="single" w:color="auto" w:sz="4" w:space="0"/>
              <w:right w:val="single" w:color="auto" w:sz="4" w:space="0"/>
            </w:tcBorders>
            <w:shd w:val="clear" w:color="auto" w:fill="DBE3F4" w:themeFill="accent1" w:themeFillTint="32"/>
            <w:noWrap/>
            <w:vAlign w:val="bottom"/>
          </w:tcPr>
          <w:p w14:paraId="5D9668E4">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DBE3F4" w:themeFill="accent1" w:themeFillTint="32"/>
            <w:noWrap/>
            <w:vAlign w:val="bottom"/>
          </w:tcPr>
          <w:p w14:paraId="2698F8D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5968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440FFB4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4.1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20EA357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对受试者的相关医学判断和处理必须由具有执业资格的研究者执行并记录。</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6B9E5F4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108B6AE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3C840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37687A3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4.2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1FBF554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研究者应当对受试者的安全性指标按照临床试验方案、SOP等要求及时做出合理判断和处置，并保存相关记录。</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6252985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1FFDE524">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bl>
    <w:p w14:paraId="05BF74F2">
      <w:pPr>
        <w:sectPr>
          <w:footerReference r:id="rId7" w:type="default"/>
          <w:pgSz w:w="11907" w:h="16840"/>
          <w:pgMar w:top="1418" w:right="1418" w:bottom="1418" w:left="1418" w:header="851" w:footer="851" w:gutter="454"/>
          <w:pgNumType w:start="2"/>
          <w:cols w:space="425" w:num="1"/>
          <w:docGrid w:linePitch="312" w:charSpace="0"/>
        </w:sectPr>
      </w:pPr>
    </w:p>
    <w:tbl>
      <w:tblPr>
        <w:tblStyle w:val="5"/>
        <w:tblW w:w="88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8"/>
        <w:gridCol w:w="5525"/>
        <w:gridCol w:w="1134"/>
        <w:gridCol w:w="1275"/>
      </w:tblGrid>
      <w:tr w14:paraId="3DDA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05541CD7">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4.3</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62B20C9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发生SAE、SUSAR时，研究者应当按照相关要求及时报告。</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28DB940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149C022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1204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597971E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4.4</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5755720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除试验方案或者其他文件（如研究者手册）中规定不需立即报告的SAE外，研究者应当立即向药物临床试验机构、伦理委员会、申办方书面报告所有SAE，随后应当及时提供详尽、书面的随访报告。</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6572133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47FC000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73856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0125DC71">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4.5</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75E4A35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研究者应确保发生AE、SAE的受试者得到及时合理的治疗。</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2C4BD3E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00C7ED0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2923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453BEBC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4.6</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449C65D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不良事件与药物相关性的判定应当符合临床试验方案。</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157C62E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0382F7A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1A07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8" w:type="dxa"/>
            <w:tcBorders>
              <w:top w:val="single" w:color="auto" w:sz="4" w:space="0"/>
              <w:left w:val="single" w:color="auto" w:sz="4" w:space="0"/>
              <w:bottom w:val="single" w:color="auto" w:sz="4" w:space="0"/>
              <w:right w:val="nil"/>
            </w:tcBorders>
            <w:shd w:val="clear" w:color="auto" w:fill="DBE3F4" w:themeFill="accent1" w:themeFillTint="32"/>
            <w:vAlign w:val="center"/>
          </w:tcPr>
          <w:p w14:paraId="1D89D92E">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5</w:t>
            </w:r>
          </w:p>
        </w:tc>
        <w:tc>
          <w:tcPr>
            <w:tcW w:w="5525" w:type="dxa"/>
            <w:tcBorders>
              <w:top w:val="single" w:color="auto" w:sz="4" w:space="0"/>
              <w:left w:val="single" w:color="auto" w:sz="4" w:space="0"/>
              <w:bottom w:val="single" w:color="auto" w:sz="4" w:space="0"/>
              <w:right w:val="nil"/>
            </w:tcBorders>
            <w:shd w:val="clear" w:color="auto" w:fill="DBE3F4" w:themeFill="accent1" w:themeFillTint="32"/>
            <w:vAlign w:val="center"/>
          </w:tcPr>
          <w:p w14:paraId="366A2C8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试验用药物管理</w:t>
            </w:r>
          </w:p>
        </w:tc>
        <w:tc>
          <w:tcPr>
            <w:tcW w:w="1134" w:type="dxa"/>
            <w:tcBorders>
              <w:top w:val="single" w:color="auto" w:sz="4" w:space="0"/>
              <w:left w:val="single" w:color="auto" w:sz="4" w:space="0"/>
              <w:bottom w:val="single" w:color="auto" w:sz="4" w:space="0"/>
              <w:right w:val="single" w:color="auto" w:sz="4" w:space="0"/>
            </w:tcBorders>
            <w:shd w:val="clear" w:color="auto" w:fill="DBE3F4" w:themeFill="accent1" w:themeFillTint="32"/>
            <w:noWrap/>
            <w:vAlign w:val="bottom"/>
          </w:tcPr>
          <w:p w14:paraId="3F02036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DBE3F4" w:themeFill="accent1" w:themeFillTint="32"/>
            <w:noWrap/>
            <w:vAlign w:val="bottom"/>
          </w:tcPr>
          <w:p w14:paraId="13BBFF7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32D1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8FE1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5.1</w:t>
            </w:r>
          </w:p>
        </w:tc>
        <w:tc>
          <w:tcPr>
            <w:tcW w:w="5525" w:type="dxa"/>
            <w:tcBorders>
              <w:top w:val="single" w:color="auto" w:sz="4" w:space="0"/>
              <w:left w:val="nil"/>
              <w:bottom w:val="single" w:color="auto" w:sz="4" w:space="0"/>
              <w:right w:val="single" w:color="auto" w:sz="4" w:space="0"/>
            </w:tcBorders>
            <w:shd w:val="clear" w:color="auto" w:fill="auto"/>
            <w:vAlign w:val="center"/>
          </w:tcPr>
          <w:p w14:paraId="3F6A378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所有申办方提供的试验用药物（包括生理盐水、灭菌用水等）均需提供来源证明、检验报告、药品说明书、在GMP条件下生产的等证明文件。</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70A9B52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2AB68CF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3CFF6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18CD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5.2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6441026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试验用药物的接收、贮存、分发、使用、回收、退还及未使用的处置等各环节的管理应当遵守相应的规定并保存记录。核实各环节时间、数量、操作人等信息的相符性，及一致性。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DF19E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9A6A7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4245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8001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5.3</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14:paraId="6DF7F30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试验用药物运输和贮存的条件应当符合药物临床试验方案的要求。</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05CC8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23325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12E6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8DAA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5.4</w:t>
            </w:r>
          </w:p>
        </w:tc>
        <w:tc>
          <w:tcPr>
            <w:tcW w:w="5525" w:type="dxa"/>
            <w:tcBorders>
              <w:top w:val="single" w:color="auto" w:sz="4" w:space="0"/>
              <w:left w:val="nil"/>
              <w:bottom w:val="single" w:color="auto" w:sz="4" w:space="0"/>
              <w:right w:val="single" w:color="auto" w:sz="4" w:space="0"/>
            </w:tcBorders>
            <w:shd w:val="clear" w:color="auto" w:fill="auto"/>
            <w:vAlign w:val="center"/>
          </w:tcPr>
          <w:p w14:paraId="3F1CA83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研究者应当指派有资格的研究人员管理试验用药物。</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078C03F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2E41441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69D55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8" w:type="dxa"/>
            <w:tcBorders>
              <w:top w:val="nil"/>
              <w:left w:val="single" w:color="auto" w:sz="4" w:space="0"/>
              <w:bottom w:val="single" w:color="auto" w:sz="4" w:space="0"/>
              <w:right w:val="single" w:color="auto" w:sz="4" w:space="0"/>
            </w:tcBorders>
            <w:shd w:val="clear" w:color="auto" w:fill="auto"/>
            <w:noWrap/>
            <w:vAlign w:val="center"/>
          </w:tcPr>
          <w:p w14:paraId="61061807">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5.5</w:t>
            </w:r>
          </w:p>
        </w:tc>
        <w:tc>
          <w:tcPr>
            <w:tcW w:w="5525" w:type="dxa"/>
            <w:tcBorders>
              <w:top w:val="nil"/>
              <w:left w:val="nil"/>
              <w:bottom w:val="single" w:color="auto" w:sz="4" w:space="0"/>
              <w:right w:val="single" w:color="auto" w:sz="4" w:space="0"/>
            </w:tcBorders>
            <w:shd w:val="clear" w:color="auto" w:fill="auto"/>
            <w:vAlign w:val="center"/>
          </w:tcPr>
          <w:p w14:paraId="31A3477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试验药物的使用数量和剩余数量应当与申办者提供的数量一致。</w:t>
            </w:r>
          </w:p>
        </w:tc>
        <w:tc>
          <w:tcPr>
            <w:tcW w:w="1134" w:type="dxa"/>
            <w:tcBorders>
              <w:top w:val="nil"/>
              <w:left w:val="nil"/>
              <w:bottom w:val="single" w:color="auto" w:sz="4" w:space="0"/>
              <w:right w:val="single" w:color="auto" w:sz="4" w:space="0"/>
            </w:tcBorders>
            <w:shd w:val="clear" w:color="auto" w:fill="auto"/>
            <w:noWrap/>
            <w:vAlign w:val="bottom"/>
          </w:tcPr>
          <w:p w14:paraId="2208882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072A693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4865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A589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5.6</w:t>
            </w:r>
          </w:p>
        </w:tc>
        <w:tc>
          <w:tcPr>
            <w:tcW w:w="5525" w:type="dxa"/>
            <w:tcBorders>
              <w:top w:val="single" w:color="auto" w:sz="4" w:space="0"/>
              <w:left w:val="nil"/>
              <w:bottom w:val="single" w:color="auto" w:sz="4" w:space="0"/>
              <w:right w:val="single" w:color="auto" w:sz="4" w:space="0"/>
            </w:tcBorders>
            <w:shd w:val="clear" w:color="auto" w:fill="auto"/>
            <w:vAlign w:val="center"/>
          </w:tcPr>
          <w:p w14:paraId="1C9162C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核对药物管理各项记录中的试验用药物批号与药检报告、总结报告等资料是否一致。</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67A3554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30077E5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483D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7B07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5.7</w:t>
            </w:r>
          </w:p>
        </w:tc>
        <w:tc>
          <w:tcPr>
            <w:tcW w:w="5525" w:type="dxa"/>
            <w:tcBorders>
              <w:top w:val="single" w:color="auto" w:sz="4" w:space="0"/>
              <w:left w:val="nil"/>
              <w:bottom w:val="single" w:color="auto" w:sz="4" w:space="0"/>
              <w:right w:val="single" w:color="auto" w:sz="4" w:space="0"/>
            </w:tcBorders>
            <w:shd w:val="clear" w:color="auto" w:fill="auto"/>
            <w:vAlign w:val="center"/>
          </w:tcPr>
          <w:p w14:paraId="2568972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试验用药物管理各环节的异常情况（如温度湿度失控）应当及时评估处理并记录。</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6460609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46038F8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59DE3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8" w:type="dxa"/>
            <w:tcBorders>
              <w:top w:val="single" w:color="auto" w:sz="4" w:space="0"/>
              <w:left w:val="single" w:color="auto" w:sz="4" w:space="0"/>
              <w:bottom w:val="single" w:color="auto" w:sz="4" w:space="0"/>
              <w:right w:val="nil"/>
            </w:tcBorders>
            <w:shd w:val="clear" w:color="auto" w:fill="DBE3F4" w:themeFill="accent1" w:themeFillTint="32"/>
            <w:vAlign w:val="center"/>
          </w:tcPr>
          <w:p w14:paraId="219F551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6</w:t>
            </w:r>
          </w:p>
        </w:tc>
        <w:tc>
          <w:tcPr>
            <w:tcW w:w="5525" w:type="dxa"/>
            <w:tcBorders>
              <w:top w:val="single" w:color="auto" w:sz="4" w:space="0"/>
              <w:left w:val="single" w:color="auto" w:sz="4" w:space="0"/>
              <w:bottom w:val="single" w:color="auto" w:sz="4" w:space="0"/>
              <w:right w:val="nil"/>
            </w:tcBorders>
            <w:shd w:val="clear" w:color="auto" w:fill="DBE3F4" w:themeFill="accent1" w:themeFillTint="32"/>
            <w:vAlign w:val="center"/>
          </w:tcPr>
          <w:p w14:paraId="5AD081C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生物样本的管理</w:t>
            </w:r>
          </w:p>
        </w:tc>
        <w:tc>
          <w:tcPr>
            <w:tcW w:w="1134" w:type="dxa"/>
            <w:tcBorders>
              <w:top w:val="single" w:color="auto" w:sz="4" w:space="0"/>
              <w:left w:val="single" w:color="auto" w:sz="4" w:space="0"/>
              <w:bottom w:val="single" w:color="auto" w:sz="4" w:space="0"/>
              <w:right w:val="single" w:color="auto" w:sz="4" w:space="0"/>
            </w:tcBorders>
            <w:shd w:val="clear" w:color="auto" w:fill="DBE3F4" w:themeFill="accent1" w:themeFillTint="32"/>
            <w:noWrap/>
            <w:vAlign w:val="bottom"/>
          </w:tcPr>
          <w:p w14:paraId="5E8A086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DBE3F4" w:themeFill="accent1" w:themeFillTint="32"/>
            <w:noWrap/>
            <w:vAlign w:val="bottom"/>
          </w:tcPr>
          <w:p w14:paraId="40264F4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5FE9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66B38DC4">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6.1</w:t>
            </w:r>
          </w:p>
        </w:tc>
        <w:tc>
          <w:tcPr>
            <w:tcW w:w="5525" w:type="dxa"/>
            <w:tcBorders>
              <w:top w:val="single" w:color="auto" w:sz="4" w:space="0"/>
              <w:left w:val="nil"/>
              <w:bottom w:val="single" w:color="auto" w:sz="4" w:space="0"/>
              <w:right w:val="single" w:color="auto" w:sz="4" w:space="0"/>
            </w:tcBorders>
            <w:shd w:val="clear" w:color="auto" w:fill="auto"/>
            <w:vAlign w:val="center"/>
          </w:tcPr>
          <w:p w14:paraId="0C7E607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生物样本采集、处理、贮存、转运等各环节的管理应当遵守相应的规定并保存记录。核实各环节时间、数量、操作人等信息的相符性，及与病例报告表的一致性。</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7F21ADF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02C8B47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bl>
    <w:p w14:paraId="31AD1A3D">
      <w:pPr>
        <w:sectPr>
          <w:footerReference r:id="rId8" w:type="default"/>
          <w:pgSz w:w="11907" w:h="16840"/>
          <w:pgMar w:top="1418" w:right="1418" w:bottom="1418" w:left="1418" w:header="851" w:footer="851" w:gutter="454"/>
          <w:pgNumType w:start="2"/>
          <w:cols w:space="425" w:num="1"/>
          <w:docGrid w:linePitch="312" w:charSpace="0"/>
        </w:sectPr>
      </w:pPr>
    </w:p>
    <w:tbl>
      <w:tblPr>
        <w:tblStyle w:val="5"/>
        <w:tblW w:w="88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8"/>
        <w:gridCol w:w="1500"/>
        <w:gridCol w:w="4025"/>
        <w:gridCol w:w="1134"/>
        <w:gridCol w:w="1275"/>
      </w:tblGrid>
      <w:tr w14:paraId="499A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3EF9D2A8">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6.2</w:t>
            </w:r>
          </w:p>
        </w:tc>
        <w:tc>
          <w:tcPr>
            <w:tcW w:w="5525" w:type="dxa"/>
            <w:gridSpan w:val="2"/>
            <w:tcBorders>
              <w:top w:val="single" w:color="auto" w:sz="4" w:space="0"/>
              <w:left w:val="nil"/>
              <w:bottom w:val="single" w:color="auto" w:sz="4" w:space="0"/>
              <w:right w:val="single" w:color="auto" w:sz="4" w:space="0"/>
            </w:tcBorders>
            <w:shd w:val="clear" w:color="auto" w:fill="auto"/>
            <w:vAlign w:val="center"/>
          </w:tcPr>
          <w:p w14:paraId="76A918B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生物样本的采集、处理、贮存和转运的条件应当符合药物临床试验方案的要求。</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609E6AF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0727B53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6976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6623BE6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6.3</w:t>
            </w:r>
          </w:p>
        </w:tc>
        <w:tc>
          <w:tcPr>
            <w:tcW w:w="5525" w:type="dxa"/>
            <w:gridSpan w:val="2"/>
            <w:tcBorders>
              <w:top w:val="single" w:color="auto" w:sz="4" w:space="0"/>
              <w:left w:val="nil"/>
              <w:bottom w:val="single" w:color="auto" w:sz="4" w:space="0"/>
              <w:right w:val="single" w:color="auto" w:sz="4" w:space="0"/>
            </w:tcBorders>
            <w:shd w:val="clear" w:color="auto" w:fill="auto"/>
            <w:vAlign w:val="center"/>
          </w:tcPr>
          <w:p w14:paraId="5FD4A91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样本容器的标识应当易于识别和具有唯一性，且不泄露受试者隐私及制剂种类。</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4813393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0F005CA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13BC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23DB4F58">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6.4</w:t>
            </w:r>
          </w:p>
        </w:tc>
        <w:tc>
          <w:tcPr>
            <w:tcW w:w="5525" w:type="dxa"/>
            <w:gridSpan w:val="2"/>
            <w:tcBorders>
              <w:top w:val="single" w:color="auto" w:sz="4" w:space="0"/>
              <w:left w:val="nil"/>
              <w:bottom w:val="single" w:color="auto" w:sz="4" w:space="0"/>
              <w:right w:val="single" w:color="auto" w:sz="4" w:space="0"/>
            </w:tcBorders>
            <w:shd w:val="clear" w:color="auto" w:fill="auto"/>
            <w:vAlign w:val="center"/>
          </w:tcPr>
          <w:p w14:paraId="2128F64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生物样本管理各环节的异常情况应当及时评估处理、记录。</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01BE86D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11C2190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5A59D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5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C72AAD">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自查人员签名及日期</w:t>
            </w:r>
          </w:p>
        </w:tc>
        <w:tc>
          <w:tcPr>
            <w:tcW w:w="6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A72D0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p>
        </w:tc>
      </w:tr>
      <w:tr w14:paraId="7F6E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5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2FD3FD">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kern w:val="2"/>
                <w:sz w:val="21"/>
                <w:szCs w:val="22"/>
                <w:lang w:val="en-US" w:eastAsia="zh-CN" w:bidi="ar"/>
              </w:rPr>
            </w:pPr>
            <w:r>
              <w:rPr>
                <w:rFonts w:hint="default" w:ascii="Times New Roman" w:hAnsi="Times New Roman" w:eastAsia="宋体" w:cs="Times New Roman"/>
                <w:b/>
                <w:bCs/>
                <w:kern w:val="2"/>
                <w:sz w:val="21"/>
                <w:szCs w:val="22"/>
                <w:lang w:val="en-US" w:eastAsia="zh-CN" w:bidi="ar"/>
              </w:rPr>
              <w:t>申办方或其授权代表签名及日期</w:t>
            </w:r>
          </w:p>
        </w:tc>
        <w:tc>
          <w:tcPr>
            <w:tcW w:w="6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F7038A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p>
        </w:tc>
      </w:tr>
      <w:tr w14:paraId="7BC93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45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6448B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主要研究者签名及日期</w:t>
            </w:r>
          </w:p>
        </w:tc>
        <w:tc>
          <w:tcPr>
            <w:tcW w:w="6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144AE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p>
        </w:tc>
      </w:tr>
    </w:tbl>
    <w:p w14:paraId="2B32B493">
      <w:pPr>
        <w:spacing w:line="360" w:lineRule="auto"/>
        <w:ind w:firstLine="480" w:firstLineChars="200"/>
        <w:rPr>
          <w:rFonts w:hint="eastAsia"/>
          <w:color w:val="343434"/>
          <w:kern w:val="0"/>
          <w:sz w:val="24"/>
          <w:lang w:val="en-US" w:eastAsia="zh-CN"/>
        </w:rPr>
      </w:pPr>
    </w:p>
    <w:p w14:paraId="208D1BE1"/>
    <w:p w14:paraId="569B643E">
      <w:pPr>
        <w:widowControl/>
        <w:tabs>
          <w:tab w:val="left" w:pos="2490"/>
        </w:tabs>
        <w:spacing w:line="360" w:lineRule="auto"/>
        <w:jc w:val="left"/>
        <w:rPr>
          <w:rFonts w:hint="eastAsia"/>
          <w:sz w:val="24"/>
        </w:rPr>
      </w:pPr>
    </w:p>
    <w:p w14:paraId="3665672F">
      <w:pPr>
        <w:widowControl/>
        <w:tabs>
          <w:tab w:val="left" w:pos="2490"/>
        </w:tabs>
        <w:spacing w:line="360" w:lineRule="auto"/>
        <w:jc w:val="left"/>
        <w:rPr>
          <w:rFonts w:hint="eastAsia"/>
          <w:sz w:val="24"/>
        </w:rPr>
      </w:pPr>
    </w:p>
    <w:p w14:paraId="7F070AD4"/>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154"/>
    </w:sdtPr>
    <w:sdtContent>
      <w:sdt>
        <w:sdtPr>
          <w:id w:val="961153"/>
        </w:sdtPr>
        <w:sdtContent>
          <w:p w14:paraId="4125A4E6">
            <w:pPr>
              <w:pStyle w:val="3"/>
              <w:jc w:val="center"/>
            </w:pPr>
            <w:r>
              <w:rPr>
                <w:rFonts w:hint="eastAsia"/>
                <w:b/>
                <w:sz w:val="18"/>
                <w:szCs w:val="18"/>
                <w:lang w:val="en-US" w:eastAsia="zh-CN"/>
              </w:rPr>
              <w:t>1</w:t>
            </w:r>
            <w:r>
              <w:rPr>
                <w:lang w:val="zh-CN"/>
              </w:rPr>
              <w:t xml:space="preserve"> / </w:t>
            </w:r>
            <w:r>
              <w:rPr>
                <w:rFonts w:hint="eastAsia"/>
                <w:b/>
                <w:lang w:val="en-US" w:eastAsia="zh-CN"/>
              </w:rPr>
              <w:t>6</w:t>
            </w:r>
          </w:p>
        </w:sdtContent>
      </w:sdt>
    </w:sdtContent>
  </w:sdt>
  <w:p w14:paraId="108E3E9E">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3971"/>
    </w:sdtPr>
    <w:sdtContent>
      <w:sdt>
        <w:sdtPr>
          <w:id w:val="147482357"/>
        </w:sdtPr>
        <w:sdtContent>
          <w:p w14:paraId="152F8118">
            <w:pPr>
              <w:pStyle w:val="3"/>
              <w:jc w:val="center"/>
            </w:pPr>
            <w:r>
              <w:rPr>
                <w:rFonts w:hint="eastAsia"/>
                <w:b/>
                <w:sz w:val="18"/>
                <w:szCs w:val="18"/>
                <w:lang w:val="en-US" w:eastAsia="zh-CN"/>
              </w:rPr>
              <w:t>2</w:t>
            </w:r>
            <w:r>
              <w:rPr>
                <w:lang w:val="zh-CN"/>
              </w:rPr>
              <w:t xml:space="preserve"> / </w:t>
            </w:r>
            <w:r>
              <w:rPr>
                <w:rFonts w:hint="eastAsia"/>
                <w:b/>
                <w:lang w:val="en-US" w:eastAsia="zh-CN"/>
              </w:rPr>
              <w:t>6</w:t>
            </w:r>
          </w:p>
        </w:sdtContent>
      </w:sdt>
    </w:sdtContent>
  </w:sdt>
  <w:p w14:paraId="434EF4B2">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1291"/>
    </w:sdtPr>
    <w:sdtContent>
      <w:sdt>
        <w:sdtPr>
          <w:id w:val="147471717"/>
        </w:sdtPr>
        <w:sdtContent>
          <w:p w14:paraId="4B48111D">
            <w:pPr>
              <w:pStyle w:val="3"/>
              <w:jc w:val="center"/>
            </w:pPr>
            <w:r>
              <w:rPr>
                <w:rFonts w:hint="eastAsia"/>
                <w:b/>
                <w:sz w:val="18"/>
                <w:szCs w:val="18"/>
                <w:lang w:val="en-US" w:eastAsia="zh-CN"/>
              </w:rPr>
              <w:t>3</w:t>
            </w:r>
            <w:r>
              <w:rPr>
                <w:lang w:val="zh-CN"/>
              </w:rPr>
              <w:t xml:space="preserve"> / </w:t>
            </w:r>
            <w:r>
              <w:rPr>
                <w:rFonts w:hint="eastAsia"/>
                <w:b/>
                <w:lang w:val="en-US" w:eastAsia="zh-CN"/>
              </w:rPr>
              <w:t>6</w:t>
            </w:r>
          </w:p>
        </w:sdtContent>
      </w:sdt>
    </w:sdtContent>
  </w:sdt>
  <w:p w14:paraId="7848B99E">
    <w:pPr>
      <w:pStyle w:val="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6854"/>
    </w:sdtPr>
    <w:sdtContent>
      <w:sdt>
        <w:sdtPr>
          <w:id w:val="147480037"/>
        </w:sdtPr>
        <w:sdtContent>
          <w:p w14:paraId="3CA2757A">
            <w:pPr>
              <w:pStyle w:val="3"/>
              <w:jc w:val="center"/>
            </w:pPr>
            <w:r>
              <w:rPr>
                <w:rFonts w:hint="eastAsia"/>
                <w:b/>
                <w:sz w:val="18"/>
                <w:szCs w:val="18"/>
                <w:lang w:val="en-US" w:eastAsia="zh-CN"/>
              </w:rPr>
              <w:t>4</w:t>
            </w:r>
            <w:r>
              <w:rPr>
                <w:lang w:val="zh-CN"/>
              </w:rPr>
              <w:t xml:space="preserve"> / </w:t>
            </w:r>
            <w:r>
              <w:rPr>
                <w:rFonts w:hint="eastAsia"/>
                <w:b/>
                <w:lang w:val="en-US" w:eastAsia="zh-CN"/>
              </w:rPr>
              <w:t>6</w:t>
            </w:r>
          </w:p>
        </w:sdtContent>
      </w:sdt>
    </w:sdtContent>
  </w:sdt>
  <w:p w14:paraId="3CD5BC2D">
    <w:pPr>
      <w:pStyle w:val="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0903"/>
    </w:sdtPr>
    <w:sdtContent>
      <w:sdt>
        <w:sdtPr>
          <w:id w:val="147457256"/>
        </w:sdtPr>
        <w:sdtContent>
          <w:p w14:paraId="005BFC59">
            <w:pPr>
              <w:pStyle w:val="3"/>
              <w:jc w:val="center"/>
            </w:pPr>
            <w:r>
              <w:rPr>
                <w:rFonts w:hint="eastAsia"/>
                <w:b/>
                <w:sz w:val="18"/>
                <w:szCs w:val="18"/>
                <w:lang w:val="en-US" w:eastAsia="zh-CN"/>
              </w:rPr>
              <w:t>5</w:t>
            </w:r>
            <w:r>
              <w:rPr>
                <w:lang w:val="zh-CN"/>
              </w:rPr>
              <w:t xml:space="preserve"> / </w:t>
            </w:r>
            <w:r>
              <w:rPr>
                <w:rFonts w:hint="eastAsia"/>
                <w:b/>
                <w:lang w:val="en-US" w:eastAsia="zh-CN"/>
              </w:rPr>
              <w:t>6</w:t>
            </w:r>
          </w:p>
        </w:sdtContent>
      </w:sdt>
    </w:sdtContent>
  </w:sdt>
  <w:p w14:paraId="5BE9260A">
    <w:pPr>
      <w:pStyle w:val="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6CAB6">
    <w:pPr>
      <w:pStyle w:val="3"/>
      <w:jc w:val="center"/>
    </w:pPr>
    <w:r>
      <w:rPr>
        <w:rFonts w:hint="eastAsia"/>
        <w:lang w:val="en-US" w:eastAsia="zh-CN"/>
      </w:rPr>
      <w:t>6 / 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D53D8">
    <w:pPr>
      <w:pStyle w:val="4"/>
      <w:rPr>
        <w:rFonts w:hint="eastAsia"/>
        <w:kern w:val="0"/>
      </w:rPr>
    </w:pPr>
  </w:p>
  <w:p w14:paraId="46837D39">
    <w:pPr>
      <w:pStyle w:val="4"/>
      <w:rPr>
        <w:sz w:val="20"/>
        <w:szCs w:val="20"/>
      </w:rPr>
    </w:pPr>
    <w:r>
      <w:rPr>
        <w:rFonts w:hint="eastAsia"/>
        <w:kern w:val="0"/>
        <w:sz w:val="20"/>
        <w:szCs w:val="20"/>
      </w:rPr>
      <w:t>太和县人民</w:t>
    </w:r>
    <w:r>
      <w:rPr>
        <w:sz w:val="20"/>
        <w:szCs w:val="20"/>
      </w:rPr>
      <w:t>医院</w:t>
    </w:r>
    <w:r>
      <w:rPr>
        <w:rFonts w:hAnsi="宋体"/>
        <w:sz w:val="20"/>
        <w:szCs w:val="20"/>
      </w:rPr>
      <w:t>药物临床试验机构</w:t>
    </w:r>
    <w:r>
      <w:rPr>
        <w:rFonts w:hint="eastAsia" w:hAnsi="宋体"/>
        <w:sz w:val="20"/>
        <w:szCs w:val="20"/>
      </w:rPr>
      <w:t xml:space="preserve">     </w:t>
    </w:r>
    <w:r>
      <w:rPr>
        <w:rFonts w:hint="eastAsia" w:hAnsi="宋体"/>
        <w:sz w:val="20"/>
        <w:szCs w:val="20"/>
        <w:lang w:val="en-US" w:eastAsia="zh-CN"/>
      </w:rPr>
      <w:t xml:space="preserve">           </w:t>
    </w:r>
    <w:bookmarkStart w:id="0" w:name="_GoBack"/>
    <w:bookmarkEnd w:id="0"/>
    <w:r>
      <w:rPr>
        <w:rFonts w:hint="eastAsia" w:hAnsi="宋体"/>
        <w:sz w:val="20"/>
        <w:szCs w:val="20"/>
        <w:lang w:val="en-US" w:eastAsia="zh-CN"/>
      </w:rPr>
      <w:t xml:space="preserve">          </w:t>
    </w:r>
    <w:r>
      <w:rPr>
        <w:rFonts w:hint="eastAsia" w:hAnsi="宋体"/>
        <w:sz w:val="20"/>
        <w:szCs w:val="20"/>
      </w:rPr>
      <w:t xml:space="preserve">      </w:t>
    </w:r>
    <w:r>
      <w:rPr>
        <w:rFonts w:hint="eastAsia" w:ascii="Times New Roman" w:hAnsi="Times New Roman" w:cs="Times New Roman"/>
        <w:sz w:val="20"/>
        <w:szCs w:val="24"/>
        <w:lang w:val="en-US" w:eastAsia="zh-CN"/>
      </w:rPr>
      <w:t>YW</w:t>
    </w:r>
    <w:r>
      <w:rPr>
        <w:rFonts w:hint="default" w:ascii="Times New Roman" w:hAnsi="Times New Roman" w:cs="Times New Roman"/>
        <w:sz w:val="20"/>
        <w:szCs w:val="24"/>
        <w:lang w:val="en-US" w:eastAsia="zh-CN"/>
      </w:rPr>
      <w:t>-JG-</w:t>
    </w:r>
    <w:r>
      <w:rPr>
        <w:rFonts w:hint="eastAsia" w:ascii="Times New Roman" w:hAnsi="Times New Roman" w:cs="Times New Roman"/>
        <w:sz w:val="20"/>
        <w:szCs w:val="24"/>
        <w:lang w:val="en-US" w:eastAsia="zh-CN"/>
      </w:rPr>
      <w:t>Form</w:t>
    </w:r>
    <w:r>
      <w:rPr>
        <w:rFonts w:hint="default" w:ascii="Times New Roman" w:hAnsi="Times New Roman" w:cs="Times New Roman"/>
        <w:sz w:val="20"/>
        <w:szCs w:val="24"/>
        <w:lang w:val="en-US" w:eastAsia="zh-CN"/>
      </w:rPr>
      <w:t>-0</w:t>
    </w:r>
    <w:r>
      <w:rPr>
        <w:rFonts w:hint="eastAsia" w:cs="Times New Roman"/>
        <w:sz w:val="20"/>
        <w:szCs w:val="24"/>
        <w:lang w:val="en-US" w:eastAsia="zh-CN"/>
      </w:rPr>
      <w:t>54</w:t>
    </w:r>
    <w:r>
      <w:rPr>
        <w:rFonts w:hint="default" w:ascii="Times New Roman" w:hAnsi="Times New Roman" w:cs="Times New Roman"/>
        <w:sz w:val="20"/>
        <w:szCs w:val="24"/>
        <w:lang w:val="en-US" w:eastAsia="zh-CN"/>
      </w:rPr>
      <w:t>-1.</w:t>
    </w:r>
    <w:r>
      <w:rPr>
        <w:rFonts w:hint="eastAsia" w:ascii="Times New Roman" w:hAnsi="Times New Roman" w:cs="Times New Roman"/>
        <w:sz w:val="20"/>
        <w:szCs w:val="24"/>
        <w:lang w:val="en-US" w:eastAsia="zh-CN"/>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07742">
    <w:pPr>
      <w:pStyle w:val="4"/>
    </w:pPr>
    <w:r>
      <w:rPr>
        <w:rFonts w:hint="eastAsia"/>
        <w:kern w:val="0"/>
      </w:rPr>
      <w:t>太和县人民</w:t>
    </w:r>
    <w:r>
      <w:t>医院</w:t>
    </w:r>
    <w:r>
      <w:rPr>
        <w:rFonts w:hAnsi="宋体"/>
      </w:rPr>
      <w:t>药物临床试验机构</w:t>
    </w:r>
    <w:r>
      <w:rPr>
        <w:rFonts w:hint="eastAsia" w:hAnsi="宋体"/>
      </w:rPr>
      <w:t xml:space="preserve">  </w:t>
    </w:r>
    <w:r>
      <w:rPr>
        <w:rFonts w:hint="eastAsia" w:hAnsi="宋体"/>
        <w:lang w:val="en-US" w:eastAsia="zh-CN"/>
      </w:rPr>
      <w:t xml:space="preserve">  </w:t>
    </w:r>
    <w:r>
      <w:rPr>
        <w:rFonts w:hint="eastAsia" w:hAnsi="宋体"/>
      </w:rPr>
      <w:t xml:space="preserve">   </w:t>
    </w:r>
    <w:r>
      <w:rPr>
        <w:rFonts w:hAnsi="宋体"/>
      </w:rPr>
      <w:t>临床试验结题</w:t>
    </w:r>
    <w:r>
      <w:rPr>
        <w:rFonts w:hint="eastAsia" w:hAnsi="宋体"/>
      </w:rPr>
      <w:t>的</w:t>
    </w:r>
    <w:r>
      <w:t xml:space="preserve">SOP        </w:t>
    </w:r>
    <w:r>
      <w:rPr>
        <w:rFonts w:hint="eastAsia"/>
      </w:rPr>
      <w:t>THXRMYY-</w:t>
    </w:r>
    <w:r>
      <w:t>JG-SOP</w:t>
    </w:r>
    <w:r>
      <w:rPr>
        <w:rFonts w:hint="eastAsia"/>
      </w:rPr>
      <w:t>-CT</w:t>
    </w:r>
    <w:r>
      <w:t>-0</w:t>
    </w:r>
    <w:r>
      <w:rPr>
        <w:rFonts w:hint="eastAsia"/>
      </w:rPr>
      <w:t>18</w:t>
    </w:r>
    <w:r>
      <w:t>-</w:t>
    </w:r>
    <w:r>
      <w:rPr>
        <w:rFonts w:hint="eastAsia"/>
        <w:lang w:val="en-US" w:eastAsia="zh-CN"/>
      </w:rPr>
      <w:t>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OTg2OGJiMWQ5MTgwNTg1YTM4NjQ5YmE3Y2JmZmUifQ=="/>
  </w:docVars>
  <w:rsids>
    <w:rsidRoot w:val="1E400584"/>
    <w:rsid w:val="0D8F4AE3"/>
    <w:rsid w:val="1E400584"/>
    <w:rsid w:val="35B03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2820</Words>
  <Characters>3052</Characters>
  <Lines>0</Lines>
  <Paragraphs>0</Paragraphs>
  <TotalTime>0</TotalTime>
  <ScaleCrop>false</ScaleCrop>
  <LinksUpToDate>false</LinksUpToDate>
  <CharactersWithSpaces>3183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2024-03-14T07:55:00Z</dcterms:created>
  <dc:creator>蓝胖子</dc:creator>
  <cp:lastModifiedBy>蓝胖子</cp:lastModifiedBy>
  <dcterms:modified xsi:type="dcterms:W3CDTF">2024-09-24T07:59:04Z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AEE00B2A886C44708A7D08A9512611F1_11</vt:lpwstr>
  </property>
</Properties>
</file>