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新生儿有创呼吸机邀请竞争性谈判公告</w:t>
      </w:r>
    </w:p>
    <w:p>
      <w:pPr>
        <w:widowControl/>
        <w:spacing w:line="360" w:lineRule="auto"/>
        <w:ind w:firstLine="593" w:firstLineChars="212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根据我院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新生儿科应急采购需求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现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我院新生儿有创呼吸机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>邀请竞争性谈判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，欢迎符合资格并能提供完善售后服务的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供应商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现将相关事宜公告如下：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一、采购项目名称及内容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有创呼吸机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BY20200101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3、采购数量：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1台；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4、使用科室：新生儿科；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5、邀请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品牌：德尔格   型号：V500；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968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品牌：SLE      型号：SLE5000；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968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品牌：菲萍     型号：FABIAN HFO；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6、使用方向：新生儿科专用，标配带有高频通气模式等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竞选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人资格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0" w:firstLineChars="10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1、具有独立法人资格的制造商/代理商，具有有效营业执照；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0" w:firstLineChars="10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2、经销/代理商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竞选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时应具有有效的医疗器械经营资质证书（经营资质证书中的经营范围应当涵盖所投产品的类别，所投产品属于三类的，以医疗器械经营许可证为准，所投产品属于一类或二类的，以医疗器械经营备案凭证为准）；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0" w:firstLineChars="10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竞选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产品须具有有效的医疗器械注册证及登记表（二类或三类产品）或备案凭证（一类产品）；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0" w:firstLineChars="10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竞选产品的销售授权委托书（原件）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；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5、本项目不接受联合体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竞选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（注：所有复印件需加盖公章，不按要求提交材料的文件为无效竞选。）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时间及地点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1" w:firstLineChars="100"/>
        <w:jc w:val="left"/>
        <w:textAlignment w:val="auto"/>
        <w:outlineLvl w:val="9"/>
        <w:rPr>
          <w:color w:val="auto"/>
        </w:rPr>
      </w:pPr>
      <w:r>
        <w:rPr>
          <w:rFonts w:ascii="黑体" w:hAnsi="宋体" w:eastAsia="黑体" w:cs="黑体"/>
          <w:b/>
          <w:color w:val="auto"/>
          <w:sz w:val="28"/>
          <w:szCs w:val="28"/>
        </w:rPr>
        <w:t>1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、</w:t>
      </w:r>
      <w:r>
        <w:rPr>
          <w:rFonts w:hint="eastAsia" w:ascii="黑体" w:hAnsi="宋体" w:eastAsia="黑体" w:cs="黑体"/>
          <w:b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时间：</w:t>
      </w:r>
      <w:r>
        <w:rPr>
          <w:rFonts w:hint="eastAsia" w:ascii="黑体" w:hAnsi="宋体" w:eastAsia="黑体" w:cs="黑体"/>
          <w:b/>
          <w:color w:val="auto"/>
          <w:sz w:val="28"/>
          <w:szCs w:val="28"/>
          <w:lang w:val="en-US" w:eastAsia="zh-CN"/>
        </w:rPr>
        <w:t>2020年11月5日上午9:00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81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2、</w:t>
      </w:r>
      <w:r>
        <w:rPr>
          <w:rFonts w:hint="eastAsia" w:ascii="黑体" w:hAnsi="宋体" w:eastAsia="黑体" w:cs="黑体"/>
          <w:b/>
          <w:color w:val="auto"/>
          <w:sz w:val="28"/>
          <w:szCs w:val="28"/>
          <w:lang w:eastAsia="zh-CN"/>
        </w:rPr>
        <w:t>竞选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文件</w:t>
      </w:r>
      <w:r>
        <w:rPr>
          <w:rFonts w:hint="eastAsia" w:ascii="黑体" w:hAnsi="宋体" w:eastAsia="黑体" w:cs="黑体"/>
          <w:b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：</w:t>
      </w:r>
      <w:r>
        <w:rPr>
          <w:rFonts w:hint="eastAsia" w:ascii="黑体" w:hAnsi="宋体" w:eastAsia="黑体" w:cs="黑体"/>
          <w:b/>
          <w:color w:val="auto"/>
          <w:sz w:val="28"/>
          <w:szCs w:val="28"/>
          <w:lang w:val="en-US" w:eastAsia="zh-CN"/>
        </w:rPr>
        <w:t>供应商携带一正二副竞选文件参与现场谈判，文件格式自拟，满足资格要求的基础上须明确产品配置清单、技术参数、质保期、优惠条件及其他供应商认为需要提供的资料</w:t>
      </w:r>
      <w:r>
        <w:rPr>
          <w:rFonts w:hint="eastAsia" w:ascii="黑体" w:hAnsi="宋体" w:eastAsia="黑体" w:cs="黑体"/>
          <w:b/>
          <w:color w:val="auto"/>
          <w:sz w:val="28"/>
          <w:szCs w:val="28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地点：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太和县人民医院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行政楼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方式：公开；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、资格审查方式：后审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eastAsia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color w:val="auto"/>
          <w:sz w:val="28"/>
          <w:szCs w:val="28"/>
          <w:lang w:val="en-US" w:eastAsia="zh-CN"/>
        </w:rPr>
        <w:t>6、谈判方式：谈判小组根据竞选产品的谈判价格、市场占有率、技术参数、配置、质保期等集体讨论确定成交候选人。</w:t>
      </w:r>
    </w:p>
    <w:p>
      <w:pPr>
        <w:pStyle w:val="2"/>
        <w:ind w:left="0" w:leftChars="0" w:firstLine="0" w:firstLineChars="0"/>
        <w:rPr>
          <w:rFonts w:hint="default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color w:val="auto"/>
          <w:sz w:val="28"/>
          <w:szCs w:val="28"/>
          <w:lang w:val="en-US" w:eastAsia="zh-CN"/>
        </w:rPr>
        <w:t>7、未尽事宜，另行约定。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320" w:firstLineChars="19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360" w:lineRule="auto"/>
        <w:ind w:firstLine="5600" w:firstLineChars="20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太和县人民医院</w:t>
      </w:r>
    </w:p>
    <w:p>
      <w:pPr>
        <w:widowControl/>
        <w:spacing w:line="360" w:lineRule="auto"/>
        <w:ind w:firstLine="5320" w:firstLineChars="19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2020年 11月2日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附件一</w:t>
      </w:r>
    </w:p>
    <w:p>
      <w:pPr>
        <w:pStyle w:val="2"/>
        <w:ind w:left="0" w:leftChars="0" w:firstLine="3092" w:firstLineChars="1100"/>
        <w:rPr>
          <w:rFonts w:hint="eastAsia"/>
          <w:b/>
          <w:bCs w:val="0"/>
        </w:rPr>
      </w:pPr>
      <w:r>
        <w:rPr>
          <w:rFonts w:hint="eastAsia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hAnsi="宋体"/>
          <w:b/>
          <w:bCs w:val="0"/>
          <w:color w:val="000000"/>
          <w:sz w:val="32"/>
          <w:szCs w:val="32"/>
          <w:lang w:val="en-US" w:eastAsia="zh-CN"/>
        </w:rPr>
        <w:t>竞选</w:t>
      </w:r>
      <w:r>
        <w:rPr>
          <w:rFonts w:hint="eastAsia" w:hAnsi="宋体"/>
          <w:b/>
          <w:bCs w:val="0"/>
          <w:color w:val="000000"/>
          <w:sz w:val="32"/>
          <w:szCs w:val="32"/>
        </w:rPr>
        <w:t>一览表</w:t>
      </w:r>
    </w:p>
    <w:tbl>
      <w:tblPr>
        <w:tblStyle w:val="7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 目 名 称</w:t>
            </w:r>
          </w:p>
        </w:tc>
        <w:tc>
          <w:tcPr>
            <w:tcW w:w="64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宋体"/>
                <w:b/>
                <w:color w:val="000000"/>
                <w:sz w:val="28"/>
                <w:szCs w:val="28"/>
                <w:lang w:val="en-US" w:eastAsia="zh-CN"/>
              </w:rPr>
              <w:t>竞争性谈判</w:t>
            </w:r>
            <w:r>
              <w:rPr>
                <w:rFonts w:hint="eastAsia" w:hAnsi="宋体"/>
                <w:b/>
                <w:color w:val="000000"/>
                <w:sz w:val="28"/>
                <w:szCs w:val="28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竞选单位全称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竞选</w:t>
            </w:r>
            <w:r>
              <w:rPr>
                <w:rFonts w:hint="eastAsia" w:ascii="宋体" w:hAnsi="宋体" w:cs="宋体"/>
                <w:sz w:val="28"/>
                <w:szCs w:val="28"/>
              </w:rPr>
              <w:t>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（人民币）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>
            <w:pPr>
              <w:spacing w:line="360" w:lineRule="auto"/>
              <w:ind w:right="-67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338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647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供货期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2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质保期及其他优惠条件。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（此报价包含</w:t>
      </w:r>
      <w:r>
        <w:rPr>
          <w:rFonts w:hint="eastAsia"/>
          <w:sz w:val="24"/>
          <w:szCs w:val="24"/>
          <w:lang w:val="en-US" w:eastAsia="zh-CN"/>
        </w:rPr>
        <w:t>:货款、标准附件、备品备件、专用工具、包装、运输、装卸、税收、仓储、安装、调试、质保、售后服务等全部费用采购项目及附件货款、运输费、保险费、安装费、培训费、税等所有费用）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法人代表或授权代表(签字)：</w:t>
      </w:r>
    </w:p>
    <w:p>
      <w:pPr>
        <w:keepNext w:val="0"/>
        <w:keepLines w:val="0"/>
        <w:widowControl/>
        <w:suppressLineNumbers w:val="0"/>
        <w:spacing w:line="15" w:lineRule="atLeas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  </w:t>
      </w:r>
    </w:p>
    <w:p>
      <w:pPr>
        <w:pStyle w:val="2"/>
        <w:ind w:left="0" w:leftChars="0" w:firstLine="0" w:firstLineChars="0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附件二</w:t>
      </w:r>
    </w:p>
    <w:p>
      <w:pPr>
        <w:pStyle w:val="5"/>
        <w:numPr>
          <w:ilvl w:val="0"/>
          <w:numId w:val="0"/>
        </w:numPr>
        <w:spacing w:line="360" w:lineRule="auto"/>
        <w:ind w:leftChars="0" w:firstLine="1968" w:firstLineChars="700"/>
        <w:rPr>
          <w:rFonts w:hint="eastAsia" w:hAnsi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</w:rPr>
        <w:t>二、</w:t>
      </w:r>
      <w:r>
        <w:rPr>
          <w:rFonts w:hint="eastAsia" w:hAnsi="宋体"/>
          <w:color w:val="000000"/>
          <w:sz w:val="32"/>
          <w:szCs w:val="32"/>
        </w:rPr>
        <w:t>分项</w:t>
      </w:r>
      <w:r>
        <w:rPr>
          <w:rFonts w:hint="eastAsia" w:hAnsi="宋体"/>
          <w:color w:val="000000"/>
          <w:sz w:val="32"/>
          <w:szCs w:val="32"/>
          <w:lang w:eastAsia="zh-CN"/>
        </w:rPr>
        <w:t>明细</w:t>
      </w:r>
      <w:r>
        <w:rPr>
          <w:rFonts w:hint="eastAsia" w:hAnsi="宋体"/>
          <w:color w:val="000000"/>
          <w:sz w:val="32"/>
          <w:szCs w:val="32"/>
        </w:rPr>
        <w:t>报价表</w:t>
      </w:r>
    </w:p>
    <w:tbl>
      <w:tblPr>
        <w:tblStyle w:val="7"/>
        <w:tblpPr w:leftFromText="180" w:rightFromText="180" w:vertAnchor="text" w:horzAnchor="page" w:tblpX="744" w:tblpY="126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021"/>
        <w:gridCol w:w="2000"/>
        <w:gridCol w:w="1479"/>
        <w:gridCol w:w="1084"/>
        <w:gridCol w:w="708"/>
        <w:gridCol w:w="131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品牌、型号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before="120" w:beforeLines="5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before="120" w:beforeLines="50" w:line="48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000000"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>注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>表中所列服务为对应本项目需求的全部服务内容。如有漏项或缺项，</w:t>
      </w:r>
      <w:r>
        <w:rPr>
          <w:rFonts w:hint="eastAsia" w:ascii="宋体" w:hAnsi="宋体"/>
          <w:b/>
          <w:color w:val="000000"/>
          <w:sz w:val="24"/>
          <w:lang w:eastAsia="zh-CN"/>
        </w:rPr>
        <w:t>竞选</w:t>
      </w:r>
      <w:r>
        <w:rPr>
          <w:rFonts w:hint="eastAsia" w:ascii="宋体" w:hAnsi="宋体"/>
          <w:b/>
          <w:color w:val="000000"/>
          <w:sz w:val="24"/>
        </w:rPr>
        <w:t>供应商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>承担全部责任。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</w:p>
    <w:p>
      <w:pPr>
        <w:rPr>
          <w:rFonts w:hint="eastAsia" w:hAnsi="宋体"/>
          <w:color w:val="000000"/>
          <w:sz w:val="28"/>
        </w:rPr>
      </w:pPr>
    </w:p>
    <w:p>
      <w:pPr>
        <w:pStyle w:val="5"/>
        <w:numPr>
          <w:ilvl w:val="2"/>
          <w:numId w:val="2"/>
        </w:numPr>
        <w:adjustRightInd w:val="0"/>
        <w:spacing w:line="360" w:lineRule="auto"/>
        <w:jc w:val="both"/>
        <w:textAlignment w:val="baseline"/>
        <w:rPr>
          <w:rFonts w:hAnsi="宋体"/>
          <w:b/>
          <w:color w:val="auto"/>
          <w:sz w:val="24"/>
        </w:rPr>
      </w:pPr>
      <w:r>
        <w:rPr>
          <w:rFonts w:hAnsi="宋体"/>
          <w:b/>
          <w:color w:val="auto"/>
          <w:sz w:val="24"/>
        </w:rPr>
        <w:t>法人代表或授权代表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签字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</w:p>
    <w:p>
      <w:pPr>
        <w:pStyle w:val="2"/>
        <w:rPr>
          <w:rFonts w:hAnsi="宋体"/>
          <w:b/>
          <w:color w:val="auto"/>
          <w:sz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hAnsi="宋体"/>
          <w:b/>
          <w:color w:val="auto"/>
          <w:sz w:val="24"/>
        </w:rPr>
      </w:pP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b/>
          <w:color w:val="auto"/>
          <w:sz w:val="24"/>
        </w:rPr>
        <w:t xml:space="preserve"> </w:t>
      </w:r>
    </w:p>
    <w:p>
      <w:pPr>
        <w:pStyle w:val="5"/>
        <w:numPr>
          <w:ilvl w:val="2"/>
          <w:numId w:val="2"/>
        </w:numPr>
        <w:adjustRightInd w:val="0"/>
        <w:spacing w:line="360" w:lineRule="auto"/>
        <w:jc w:val="both"/>
        <w:textAlignment w:val="baseline"/>
        <w:rPr>
          <w:rFonts w:hint="eastAsia" w:hAnsi="宋体"/>
          <w:color w:val="000000"/>
          <w:sz w:val="28"/>
        </w:rPr>
      </w:pPr>
    </w:p>
    <w:p>
      <w:pPr>
        <w:keepNext w:val="0"/>
        <w:keepLines w:val="0"/>
        <w:widowControl/>
        <w:suppressLineNumbers w:val="0"/>
        <w:spacing w:line="15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700" w:firstLine="1687" w:firstLineChars="6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700" w:firstLine="1687" w:firstLineChars="6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附件三</w:t>
      </w:r>
    </w:p>
    <w:p>
      <w:pPr>
        <w:numPr>
          <w:ilvl w:val="0"/>
          <w:numId w:val="0"/>
        </w:numPr>
        <w:ind w:firstLine="3213" w:firstLineChars="1000"/>
        <w:jc w:val="both"/>
        <w:rPr>
          <w:rFonts w:hint="eastAsia" w:hAnsi="宋体"/>
          <w:color w:val="000000"/>
          <w:sz w:val="28"/>
          <w:lang w:val="en-US" w:eastAsia="zh-CN"/>
        </w:rPr>
      </w:pPr>
      <w:r>
        <w:rPr>
          <w:rFonts w:hint="eastAsia" w:hAnsi="宋体"/>
          <w:b/>
          <w:bCs/>
          <w:color w:val="000000"/>
          <w:kern w:val="1"/>
          <w:sz w:val="32"/>
          <w:szCs w:val="32"/>
          <w:lang w:val="en-US" w:eastAsia="zh-CN" w:bidi="ar-SA"/>
        </w:rPr>
        <w:t>三、技术参数表</w:t>
      </w:r>
      <w:r>
        <w:rPr>
          <w:rFonts w:hint="eastAsia" w:hAnsi="宋体"/>
          <w:color w:val="000000"/>
          <w:sz w:val="28"/>
          <w:lang w:val="en-US" w:eastAsia="zh-CN"/>
        </w:rPr>
        <w:t xml:space="preserve"> </w:t>
      </w:r>
    </w:p>
    <w:p>
      <w:pPr>
        <w:spacing w:line="360" w:lineRule="auto"/>
        <w:rPr>
          <w:color w:val="auto"/>
          <w:sz w:val="24"/>
        </w:rPr>
      </w:pPr>
      <w:r>
        <w:rPr>
          <w:rFonts w:hAnsi="宋体"/>
          <w:color w:val="auto"/>
          <w:sz w:val="24"/>
        </w:rPr>
        <w:t>项目名称：</w:t>
      </w:r>
      <w:r>
        <w:rPr>
          <w:color w:val="auto"/>
          <w:sz w:val="24"/>
        </w:rPr>
        <w:t xml:space="preserve">                                     </w:t>
      </w:r>
      <w:r>
        <w:rPr>
          <w:rFonts w:hint="eastAsia" w:hAnsi="宋体"/>
          <w:color w:val="auto"/>
          <w:sz w:val="24"/>
          <w:lang w:eastAsia="zh-CN"/>
        </w:rPr>
        <w:t>询价</w:t>
      </w:r>
      <w:r>
        <w:rPr>
          <w:rFonts w:hAnsi="宋体"/>
          <w:color w:val="auto"/>
          <w:sz w:val="24"/>
        </w:rPr>
        <w:t>编号：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技术参数</w:t>
            </w:r>
          </w:p>
          <w:p>
            <w:pPr>
              <w:spacing w:before="120" w:beforeLines="50" w:line="360" w:lineRule="auto"/>
              <w:jc w:val="center"/>
              <w:rPr>
                <w:rFonts w:hint="eastAsia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pct"/>
            <w:noWrap w:val="0"/>
            <w:vAlign w:val="top"/>
          </w:tcPr>
          <w:p>
            <w:pPr>
              <w:spacing w:before="120" w:beforeLines="50" w:line="360" w:lineRule="auto"/>
              <w:rPr>
                <w:color w:val="auto"/>
                <w:sz w:val="36"/>
                <w:szCs w:val="36"/>
              </w:rPr>
            </w:pPr>
          </w:p>
        </w:tc>
        <w:tc>
          <w:tcPr>
            <w:tcW w:w="3771" w:type="pct"/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color w:val="auto"/>
                <w:sz w:val="36"/>
                <w:szCs w:val="36"/>
              </w:rPr>
            </w:pPr>
          </w:p>
        </w:tc>
      </w:tr>
    </w:tbl>
    <w:p>
      <w:pPr>
        <w:spacing w:before="120" w:beforeLines="50" w:line="360" w:lineRule="auto"/>
        <w:ind w:firstLine="105" w:firstLineChars="50"/>
        <w:rPr>
          <w:b/>
          <w:color w:val="auto"/>
          <w:szCs w:val="21"/>
        </w:rPr>
      </w:pPr>
    </w:p>
    <w:p>
      <w:pPr>
        <w:spacing w:before="120" w:beforeLines="50" w:line="360" w:lineRule="auto"/>
        <w:ind w:firstLine="105" w:firstLineChars="50"/>
        <w:rPr>
          <w:rFonts w:hAnsi="宋体"/>
          <w:b/>
          <w:color w:val="auto"/>
          <w:spacing w:val="4"/>
          <w:szCs w:val="21"/>
        </w:rPr>
      </w:pPr>
      <w:r>
        <w:rPr>
          <w:rFonts w:hAnsi="宋体"/>
          <w:b/>
          <w:color w:val="auto"/>
          <w:szCs w:val="21"/>
        </w:rPr>
        <w:t>注</w:t>
      </w:r>
      <w:r>
        <w:rPr>
          <w:b/>
          <w:color w:val="auto"/>
          <w:szCs w:val="21"/>
        </w:rPr>
        <w:t>：1</w:t>
      </w:r>
      <w:r>
        <w:rPr>
          <w:rFonts w:hAnsi="宋体"/>
          <w:b/>
          <w:color w:val="auto"/>
          <w:szCs w:val="21"/>
        </w:rPr>
        <w:t>、</w:t>
      </w:r>
      <w:r>
        <w:rPr>
          <w:rFonts w:hint="eastAsia" w:hAnsi="宋体"/>
          <w:b/>
          <w:color w:val="auto"/>
          <w:spacing w:val="4"/>
          <w:szCs w:val="21"/>
          <w:lang w:val="en-US" w:eastAsia="zh-CN"/>
        </w:rPr>
        <w:t>偏离情况：正偏离、无偏离、负偏离，竞选人必须实事求是，若发现虚假竞选（包括成交后查实）后果自负</w:t>
      </w:r>
      <w:r>
        <w:rPr>
          <w:rFonts w:hAnsi="宋体"/>
          <w:b/>
          <w:color w:val="auto"/>
          <w:spacing w:val="4"/>
          <w:szCs w:val="21"/>
        </w:rPr>
        <w:t>。</w:t>
      </w:r>
    </w:p>
    <w:p>
      <w:pPr>
        <w:spacing w:before="120" w:beforeLines="50" w:line="360" w:lineRule="auto"/>
        <w:ind w:firstLine="420"/>
        <w:rPr>
          <w:b/>
          <w:color w:val="auto"/>
          <w:szCs w:val="21"/>
        </w:rPr>
      </w:pPr>
      <w:r>
        <w:rPr>
          <w:b/>
          <w:color w:val="auto"/>
          <w:szCs w:val="21"/>
        </w:rPr>
        <w:t>2</w:t>
      </w:r>
      <w:r>
        <w:rPr>
          <w:rFonts w:hAnsi="宋体"/>
          <w:b/>
          <w:color w:val="auto"/>
          <w:szCs w:val="21"/>
        </w:rPr>
        <w:t>、</w:t>
      </w:r>
      <w:r>
        <w:rPr>
          <w:rFonts w:hAnsi="宋体"/>
          <w:b/>
          <w:color w:val="auto"/>
          <w:spacing w:val="4"/>
          <w:szCs w:val="21"/>
        </w:rPr>
        <w:t>如</w:t>
      </w:r>
      <w:r>
        <w:rPr>
          <w:rFonts w:hint="eastAsia" w:hAnsi="宋体"/>
          <w:b/>
          <w:color w:val="auto"/>
          <w:szCs w:val="21"/>
          <w:lang w:eastAsia="zh-CN"/>
        </w:rPr>
        <w:t>竞选</w:t>
      </w:r>
      <w:r>
        <w:rPr>
          <w:rFonts w:hAnsi="宋体"/>
          <w:b/>
          <w:color w:val="auto"/>
          <w:szCs w:val="21"/>
        </w:rPr>
        <w:t>人在</w:t>
      </w:r>
      <w:r>
        <w:rPr>
          <w:rFonts w:hint="eastAsia" w:hAnsi="宋体"/>
          <w:b/>
          <w:color w:val="auto"/>
          <w:szCs w:val="21"/>
          <w:lang w:eastAsia="zh-CN"/>
        </w:rPr>
        <w:t>竞选</w:t>
      </w:r>
      <w:r>
        <w:rPr>
          <w:rFonts w:hAnsi="宋体"/>
          <w:b/>
          <w:color w:val="auto"/>
          <w:szCs w:val="21"/>
        </w:rPr>
        <w:t>文件中技术偏离表</w:t>
      </w:r>
      <w:r>
        <w:rPr>
          <w:rFonts w:hint="eastAsia" w:hAnsi="宋体"/>
          <w:b/>
          <w:color w:val="auto"/>
          <w:szCs w:val="21"/>
        </w:rPr>
        <w:t>只填写响应，专家现场商议并可认定为不响应</w:t>
      </w:r>
      <w:r>
        <w:rPr>
          <w:rFonts w:hint="eastAsia" w:hAnsi="宋体"/>
          <w:b/>
          <w:color w:val="auto"/>
          <w:szCs w:val="21"/>
          <w:lang w:eastAsia="zh-CN"/>
        </w:rPr>
        <w:t>询价</w:t>
      </w:r>
      <w:r>
        <w:rPr>
          <w:rFonts w:hint="eastAsia" w:hAnsi="宋体"/>
          <w:b/>
          <w:color w:val="auto"/>
          <w:szCs w:val="21"/>
        </w:rPr>
        <w:t>文件要求。</w:t>
      </w:r>
    </w:p>
    <w:p>
      <w:pPr>
        <w:spacing w:before="120" w:beforeLines="50" w:line="360" w:lineRule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Ansi="宋体"/>
          <w:b/>
          <w:color w:val="auto"/>
          <w:sz w:val="24"/>
        </w:rPr>
        <w:t>法人代表或授权代表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签字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    </w:t>
      </w:r>
      <w:r>
        <w:rPr>
          <w:rFonts w:hint="eastAsia" w:hAnsi="宋体"/>
          <w:b/>
          <w:color w:val="auto"/>
          <w:sz w:val="24"/>
          <w:lang w:eastAsia="zh-CN"/>
        </w:rPr>
        <w:t>竞选</w:t>
      </w:r>
      <w:r>
        <w:rPr>
          <w:rFonts w:hAnsi="宋体"/>
          <w:b/>
          <w:color w:val="auto"/>
          <w:sz w:val="24"/>
        </w:rPr>
        <w:t>单位全称</w:t>
      </w:r>
      <w:r>
        <w:rPr>
          <w:b/>
          <w:color w:val="auto"/>
          <w:sz w:val="24"/>
        </w:rPr>
        <w:t>(</w:t>
      </w:r>
      <w:r>
        <w:rPr>
          <w:rFonts w:hAnsi="宋体"/>
          <w:b/>
          <w:color w:val="auto"/>
          <w:sz w:val="24"/>
        </w:rPr>
        <w:t>公章</w:t>
      </w:r>
      <w:r>
        <w:rPr>
          <w:b/>
          <w:color w:val="auto"/>
          <w:sz w:val="24"/>
        </w:rPr>
        <w:t>)</w:t>
      </w:r>
      <w:r>
        <w:rPr>
          <w:rFonts w:hAnsi="宋体"/>
          <w:b/>
          <w:color w:val="auto"/>
          <w:sz w:val="24"/>
        </w:rPr>
        <w:t>：</w:t>
      </w:r>
      <w:r>
        <w:rPr>
          <w:b/>
          <w:color w:val="auto"/>
          <w:sz w:val="24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5CF2"/>
    <w:rsid w:val="03A713E4"/>
    <w:rsid w:val="052048F0"/>
    <w:rsid w:val="054559D3"/>
    <w:rsid w:val="081A4F8B"/>
    <w:rsid w:val="09815A66"/>
    <w:rsid w:val="0B0C1A19"/>
    <w:rsid w:val="0BD15CF2"/>
    <w:rsid w:val="0BF96EE3"/>
    <w:rsid w:val="15D0279A"/>
    <w:rsid w:val="23F53B45"/>
    <w:rsid w:val="28C02423"/>
    <w:rsid w:val="29C01BDA"/>
    <w:rsid w:val="3046418B"/>
    <w:rsid w:val="33BD7B18"/>
    <w:rsid w:val="3D740D4F"/>
    <w:rsid w:val="3E9D5740"/>
    <w:rsid w:val="56101080"/>
    <w:rsid w:val="59364E24"/>
    <w:rsid w:val="608877F4"/>
    <w:rsid w:val="621E7491"/>
    <w:rsid w:val="68901753"/>
    <w:rsid w:val="691F466F"/>
    <w:rsid w:val="6C721297"/>
    <w:rsid w:val="6E556853"/>
    <w:rsid w:val="76A97A1B"/>
    <w:rsid w:val="76AD362D"/>
    <w:rsid w:val="783C2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firstLine="240" w:firstLineChars="100"/>
    </w:pPr>
    <w:rPr>
      <w:rFonts w:asci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customStyle="1" w:styleId="11">
    <w:name w:val="selected"/>
    <w:basedOn w:val="8"/>
    <w:qFormat/>
    <w:uiPriority w:val="0"/>
    <w:rPr>
      <w:shd w:val="clear" w:fill="B00006"/>
    </w:rPr>
  </w:style>
  <w:style w:type="character" w:customStyle="1" w:styleId="12">
    <w:name w:val="gpa"/>
    <w:basedOn w:val="8"/>
    <w:uiPriority w:val="0"/>
    <w:rPr>
      <w:rFonts w:ascii="Arial" w:hAnsi="Arial" w:cs="Arial"/>
      <w:sz w:val="15"/>
      <w:szCs w:val="15"/>
    </w:rPr>
  </w:style>
  <w:style w:type="character" w:customStyle="1" w:styleId="13">
    <w:name w:val="displayarti"/>
    <w:basedOn w:val="8"/>
    <w:qFormat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2020-11-02T02:29:00Z</dcterms:created>
  <dc:creator>情在细阳</dc:creator>
  <cp:lastModifiedBy>博艺琴行</cp:lastModifiedBy>
  <dcterms:modified xsi:type="dcterms:W3CDTF">2020-11-02T07:35:43Z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